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C671" w14:textId="77777777" w:rsidR="00D91F8F" w:rsidRPr="000133F8" w:rsidRDefault="00D91F8F" w:rsidP="00AE0CEE">
      <w:pPr>
        <w:jc w:val="both"/>
        <w:rPr>
          <w:rFonts w:cs="Times New Roman"/>
          <w:b/>
          <w:sz w:val="24"/>
        </w:rPr>
      </w:pPr>
    </w:p>
    <w:p w14:paraId="1098AE0D" w14:textId="77777777" w:rsidR="00F775D7" w:rsidRPr="000133F8" w:rsidRDefault="00F775D7" w:rsidP="00AE0CEE">
      <w:pPr>
        <w:jc w:val="both"/>
        <w:rPr>
          <w:rFonts w:cs="Times New Roman"/>
          <w:b/>
          <w:sz w:val="24"/>
        </w:rPr>
      </w:pPr>
      <w:r w:rsidRPr="000133F8">
        <w:rPr>
          <w:rFonts w:cs="Times New Roman"/>
          <w:b/>
          <w:sz w:val="24"/>
        </w:rPr>
        <w:t>Women Enabled International</w:t>
      </w:r>
      <w:r w:rsidR="00DD5BF4" w:rsidRPr="000133F8">
        <w:rPr>
          <w:rFonts w:cs="Times New Roman"/>
          <w:b/>
          <w:sz w:val="24"/>
        </w:rPr>
        <w:t>’s</w:t>
      </w:r>
      <w:r w:rsidRPr="000133F8">
        <w:rPr>
          <w:rFonts w:cs="Times New Roman"/>
          <w:b/>
          <w:sz w:val="24"/>
        </w:rPr>
        <w:t xml:space="preserve"> </w:t>
      </w:r>
      <w:r w:rsidR="000B583A" w:rsidRPr="000133F8">
        <w:rPr>
          <w:rFonts w:cs="Times New Roman"/>
          <w:b/>
          <w:sz w:val="24"/>
        </w:rPr>
        <w:t>Submission to the Working Group on Discrimination against Women in Law and Practice – Health and Safety of Women with Disabilities</w:t>
      </w:r>
    </w:p>
    <w:p w14:paraId="4C59E9C3" w14:textId="77777777" w:rsidR="00DE2698" w:rsidRPr="000133F8" w:rsidRDefault="00F775D7" w:rsidP="00AE0CEE">
      <w:pPr>
        <w:pStyle w:val="ListParagraph"/>
        <w:numPr>
          <w:ilvl w:val="0"/>
          <w:numId w:val="5"/>
        </w:numPr>
        <w:jc w:val="both"/>
        <w:rPr>
          <w:rFonts w:cs="Times New Roman"/>
          <w:b/>
          <w:sz w:val="24"/>
        </w:rPr>
      </w:pPr>
      <w:r w:rsidRPr="000133F8">
        <w:rPr>
          <w:rFonts w:cs="Times New Roman"/>
          <w:b/>
          <w:sz w:val="24"/>
        </w:rPr>
        <w:t>Introduction</w:t>
      </w:r>
    </w:p>
    <w:p w14:paraId="3069AACB" w14:textId="77777777" w:rsidR="000B583A" w:rsidRPr="000133F8" w:rsidRDefault="00882B7E" w:rsidP="00AE0CEE">
      <w:pPr>
        <w:pStyle w:val="BodyA"/>
        <w:spacing w:after="200"/>
        <w:jc w:val="both"/>
        <w:rPr>
          <w:rFonts w:ascii="Times New Roman" w:hAnsi="Times New Roman" w:cs="Times New Roman"/>
          <w:sz w:val="24"/>
          <w:szCs w:val="24"/>
        </w:rPr>
      </w:pPr>
      <w:hyperlink r:id="rId7" w:history="1">
        <w:r w:rsidR="00F775D7" w:rsidRPr="000133F8">
          <w:rPr>
            <w:rStyle w:val="Hyperlink"/>
            <w:rFonts w:ascii="Times New Roman" w:hAnsi="Times New Roman" w:cs="Times New Roman"/>
            <w:sz w:val="24"/>
            <w:szCs w:val="24"/>
          </w:rPr>
          <w:t>Women Enabled International</w:t>
        </w:r>
      </w:hyperlink>
      <w:r w:rsidR="00F775D7" w:rsidRPr="000133F8">
        <w:rPr>
          <w:rFonts w:ascii="Times New Roman" w:hAnsi="Times New Roman" w:cs="Times New Roman"/>
          <w:sz w:val="24"/>
          <w:szCs w:val="24"/>
        </w:rPr>
        <w:t xml:space="preserve"> (WEI) appreciates the opportunity to pr</w:t>
      </w:r>
      <w:r w:rsidR="00352043" w:rsidRPr="000133F8">
        <w:rPr>
          <w:rFonts w:ascii="Times New Roman" w:hAnsi="Times New Roman" w:cs="Times New Roman"/>
          <w:sz w:val="24"/>
          <w:szCs w:val="24"/>
        </w:rPr>
        <w:t xml:space="preserve">ovide comments </w:t>
      </w:r>
      <w:r w:rsidR="000B583A" w:rsidRPr="000133F8">
        <w:rPr>
          <w:rFonts w:ascii="Times New Roman" w:hAnsi="Times New Roman" w:cs="Times New Roman"/>
          <w:sz w:val="24"/>
          <w:szCs w:val="24"/>
        </w:rPr>
        <w:t xml:space="preserve">to the UN Working Group on the issue of discrimination against women in law and practice regarding the right to health and safety of women and girls with disabilities in the United States. WEI advocates and educates for the human rights of all women and girls, emphasizing women and girls with disabilities, and works tirelessly to include women and girls with disabilities in domestic and international resolutions, policies, and programs addressing women’s human rights and development. </w:t>
      </w:r>
    </w:p>
    <w:p w14:paraId="60C9F620" w14:textId="54DE9FCB" w:rsidR="00B767E9" w:rsidRPr="000133F8" w:rsidRDefault="000B583A" w:rsidP="00AE0CEE">
      <w:pPr>
        <w:jc w:val="both"/>
        <w:rPr>
          <w:rFonts w:cs="Times New Roman"/>
          <w:sz w:val="24"/>
        </w:rPr>
      </w:pPr>
      <w:r w:rsidRPr="000133F8">
        <w:rPr>
          <w:rFonts w:cs="Times New Roman"/>
          <w:sz w:val="24"/>
        </w:rPr>
        <w:t>In this submission, WEI provides information on how laws and practices in the United States discriminate against women with disabilities</w:t>
      </w:r>
      <w:r w:rsidRPr="000133F8">
        <w:rPr>
          <w:rStyle w:val="FootnoteReference"/>
          <w:rFonts w:cs="Times New Roman"/>
          <w:sz w:val="24"/>
        </w:rPr>
        <w:footnoteReference w:id="1"/>
      </w:r>
      <w:r w:rsidRPr="000133F8">
        <w:rPr>
          <w:rFonts w:cs="Times New Roman"/>
          <w:sz w:val="24"/>
        </w:rPr>
        <w:t xml:space="preserve"> with regard to the right to health and to safety. According to the most recent U.S. Census Bureau analysis, approximately 18.7 percent, or 56.7 million people, had a disability in 2010 in the civilian population, not including individuals in institutions or nursing homes.</w:t>
      </w:r>
      <w:r w:rsidRPr="000133F8">
        <w:rPr>
          <w:rFonts w:eastAsia="Times New Roman" w:cs="Times New Roman"/>
          <w:sz w:val="24"/>
          <w:vertAlign w:val="superscript"/>
        </w:rPr>
        <w:footnoteReference w:id="2"/>
      </w:r>
      <w:r w:rsidR="0052290D">
        <w:rPr>
          <w:rFonts w:cs="Times New Roman"/>
          <w:sz w:val="24"/>
        </w:rPr>
        <w:t xml:space="preserve"> </w:t>
      </w:r>
      <w:r w:rsidRPr="000133F8">
        <w:rPr>
          <w:rFonts w:cs="Times New Roman"/>
          <w:sz w:val="24"/>
        </w:rPr>
        <w:t xml:space="preserve">17.4 % of </w:t>
      </w:r>
      <w:r w:rsidR="00BB6020" w:rsidRPr="000133F8">
        <w:rPr>
          <w:rFonts w:cs="Times New Roman"/>
          <w:sz w:val="24"/>
        </w:rPr>
        <w:t>men</w:t>
      </w:r>
      <w:r w:rsidRPr="000133F8">
        <w:rPr>
          <w:rFonts w:cs="Times New Roman"/>
          <w:sz w:val="24"/>
        </w:rPr>
        <w:t xml:space="preserve"> and 19.8 % of </w:t>
      </w:r>
      <w:r w:rsidR="00BB6020" w:rsidRPr="000133F8">
        <w:rPr>
          <w:rFonts w:cs="Times New Roman"/>
          <w:sz w:val="24"/>
        </w:rPr>
        <w:t>women</w:t>
      </w:r>
      <w:r w:rsidRPr="000133F8">
        <w:rPr>
          <w:rFonts w:cs="Times New Roman"/>
          <w:sz w:val="24"/>
        </w:rPr>
        <w:t xml:space="preserve"> had a disability.</w:t>
      </w:r>
      <w:r w:rsidRPr="000133F8">
        <w:rPr>
          <w:rFonts w:eastAsia="Times New Roman" w:cs="Times New Roman"/>
          <w:sz w:val="24"/>
          <w:vertAlign w:val="superscript"/>
        </w:rPr>
        <w:footnoteReference w:id="3"/>
      </w:r>
      <w:r w:rsidRPr="000133F8">
        <w:rPr>
          <w:rFonts w:cs="Times New Roman"/>
          <w:sz w:val="24"/>
        </w:rPr>
        <w:t xml:space="preserve"> This submission addresses the key issues highlighted in the Working Group’s call for submissions: sexual and reproductive health and rights, gender-based violence in the public sphere, and access to justice to secure the rights to health and safety. </w:t>
      </w:r>
      <w:r w:rsidR="007274AA" w:rsidRPr="000133F8">
        <w:rPr>
          <w:rFonts w:cs="Times New Roman"/>
          <w:sz w:val="24"/>
        </w:rPr>
        <w:t>We attempt to address a number of the issues and questions posed in the Working Group’s questionnaire, but have submitted our information in a format more conducive to addressing the specific and unique forms of discrimination that women with disabilities face in these areas.</w:t>
      </w:r>
      <w:r w:rsidR="00A67F2E">
        <w:rPr>
          <w:rFonts w:cs="Times New Roman"/>
          <w:sz w:val="24"/>
        </w:rPr>
        <w:t xml:space="preserve"> We also include an annex </w:t>
      </w:r>
      <w:r w:rsidR="00A67F2E" w:rsidRPr="0052290D">
        <w:rPr>
          <w:rFonts w:cs="Times New Roman"/>
          <w:sz w:val="24"/>
        </w:rPr>
        <w:t xml:space="preserve">(p. </w:t>
      </w:r>
      <w:r w:rsidR="0052290D" w:rsidRPr="0052290D">
        <w:rPr>
          <w:rFonts w:cs="Times New Roman"/>
          <w:sz w:val="24"/>
        </w:rPr>
        <w:t>18</w:t>
      </w:r>
      <w:r w:rsidR="00A67F2E" w:rsidRPr="0052290D">
        <w:rPr>
          <w:rFonts w:cs="Times New Roman"/>
          <w:sz w:val="24"/>
        </w:rPr>
        <w:t>)</w:t>
      </w:r>
      <w:r w:rsidR="00A67F2E">
        <w:rPr>
          <w:rFonts w:cs="Times New Roman"/>
          <w:sz w:val="24"/>
        </w:rPr>
        <w:t xml:space="preserve"> that provides greater detail on U.S. judicial decisions concerning forced and non-consensual sterilization of women with disabilities should you require additional information on this subject.</w:t>
      </w:r>
    </w:p>
    <w:p w14:paraId="3EF4154C" w14:textId="77777777" w:rsidR="007274AA" w:rsidRPr="000133F8" w:rsidRDefault="000B583A" w:rsidP="00AE0CEE">
      <w:pPr>
        <w:pStyle w:val="ListParagraph"/>
        <w:numPr>
          <w:ilvl w:val="0"/>
          <w:numId w:val="5"/>
        </w:numPr>
        <w:jc w:val="both"/>
        <w:rPr>
          <w:rFonts w:cs="Times New Roman"/>
          <w:b/>
          <w:sz w:val="24"/>
        </w:rPr>
      </w:pPr>
      <w:r w:rsidRPr="000133F8">
        <w:rPr>
          <w:rFonts w:cs="Times New Roman"/>
          <w:b/>
          <w:sz w:val="24"/>
        </w:rPr>
        <w:t>Legal Framework</w:t>
      </w:r>
    </w:p>
    <w:p w14:paraId="34E1DF20" w14:textId="77777777" w:rsidR="007274AA" w:rsidRPr="000133F8" w:rsidRDefault="007274AA" w:rsidP="00AE0CEE">
      <w:pPr>
        <w:pStyle w:val="ListParagraph"/>
        <w:ind w:left="1080"/>
        <w:jc w:val="both"/>
        <w:rPr>
          <w:rFonts w:cs="Times New Roman"/>
          <w:b/>
          <w:sz w:val="24"/>
        </w:rPr>
      </w:pPr>
    </w:p>
    <w:p w14:paraId="58399249" w14:textId="77777777" w:rsidR="007274AA" w:rsidRPr="000133F8" w:rsidRDefault="007274AA" w:rsidP="00AE0CEE">
      <w:pPr>
        <w:pStyle w:val="ListParagraph"/>
        <w:numPr>
          <w:ilvl w:val="1"/>
          <w:numId w:val="5"/>
        </w:numPr>
        <w:jc w:val="both"/>
        <w:rPr>
          <w:rFonts w:cs="Times New Roman"/>
          <w:b/>
          <w:sz w:val="24"/>
        </w:rPr>
      </w:pPr>
      <w:r w:rsidRPr="000133F8">
        <w:rPr>
          <w:rFonts w:cs="Times New Roman"/>
          <w:b/>
          <w:sz w:val="24"/>
        </w:rPr>
        <w:t>International Human Rights Law</w:t>
      </w:r>
    </w:p>
    <w:p w14:paraId="33ADD52F" w14:textId="77777777" w:rsidR="007274AA" w:rsidRPr="000133F8" w:rsidRDefault="007274AA" w:rsidP="00AE0CEE">
      <w:pPr>
        <w:pStyle w:val="BodyA"/>
        <w:spacing w:after="200"/>
        <w:jc w:val="both"/>
        <w:rPr>
          <w:rFonts w:ascii="Times New Roman" w:hAnsi="Times New Roman" w:cs="Times New Roman"/>
          <w:sz w:val="24"/>
          <w:szCs w:val="24"/>
        </w:rPr>
      </w:pPr>
      <w:r w:rsidRPr="000133F8">
        <w:rPr>
          <w:rFonts w:ascii="Times New Roman" w:hAnsi="Times New Roman" w:cs="Times New Roman"/>
          <w:sz w:val="24"/>
          <w:szCs w:val="24"/>
        </w:rPr>
        <w:t xml:space="preserve">The U.S. is </w:t>
      </w:r>
      <w:r w:rsidR="00F71876" w:rsidRPr="000133F8">
        <w:rPr>
          <w:rFonts w:ascii="Times New Roman" w:hAnsi="Times New Roman" w:cs="Times New Roman"/>
          <w:sz w:val="24"/>
          <w:szCs w:val="24"/>
        </w:rPr>
        <w:t>has signed, but not ratified,</w:t>
      </w:r>
      <w:r w:rsidRPr="000133F8">
        <w:rPr>
          <w:rFonts w:ascii="Times New Roman" w:hAnsi="Times New Roman" w:cs="Times New Roman"/>
          <w:sz w:val="24"/>
          <w:szCs w:val="24"/>
        </w:rPr>
        <w:t xml:space="preserve"> several international human rights treaties that protect the rights of women and people with disabilities,</w:t>
      </w:r>
      <w:r w:rsidR="00F71876" w:rsidRPr="000133F8">
        <w:rPr>
          <w:rFonts w:ascii="Times New Roman" w:hAnsi="Times New Roman" w:cs="Times New Roman"/>
          <w:sz w:val="24"/>
          <w:szCs w:val="24"/>
        </w:rPr>
        <w:t xml:space="preserve"> </w:t>
      </w:r>
      <w:r w:rsidRPr="000133F8">
        <w:rPr>
          <w:rFonts w:ascii="Times New Roman" w:hAnsi="Times New Roman" w:cs="Times New Roman"/>
          <w:sz w:val="24"/>
          <w:szCs w:val="24"/>
        </w:rPr>
        <w:t xml:space="preserve">including the Convention on the Rights of Persons with Disabilities (CRPD), the Convention on the Elimination of All Forms of Discrimination against Women (CEDAW), the Convention on the </w:t>
      </w:r>
      <w:r w:rsidR="00B92747">
        <w:rPr>
          <w:rFonts w:ascii="Times New Roman" w:hAnsi="Times New Roman" w:cs="Times New Roman"/>
          <w:sz w:val="24"/>
          <w:szCs w:val="24"/>
        </w:rPr>
        <w:t>R</w:t>
      </w:r>
      <w:r w:rsidRPr="000133F8">
        <w:rPr>
          <w:rFonts w:ascii="Times New Roman" w:hAnsi="Times New Roman" w:cs="Times New Roman"/>
          <w:sz w:val="24"/>
          <w:szCs w:val="24"/>
        </w:rPr>
        <w:t>ights of the Child (CR</w:t>
      </w:r>
      <w:r w:rsidR="00B92747">
        <w:rPr>
          <w:rFonts w:ascii="Times New Roman" w:hAnsi="Times New Roman" w:cs="Times New Roman"/>
          <w:sz w:val="24"/>
          <w:szCs w:val="24"/>
        </w:rPr>
        <w:t>C</w:t>
      </w:r>
      <w:r w:rsidRPr="000133F8">
        <w:rPr>
          <w:rFonts w:ascii="Times New Roman" w:hAnsi="Times New Roman" w:cs="Times New Roman"/>
          <w:sz w:val="24"/>
          <w:szCs w:val="24"/>
        </w:rPr>
        <w:t>), and the International Covenant on Economic, Social and Cultural Rights (ICESCR).</w:t>
      </w:r>
      <w:r w:rsidR="00696C30">
        <w:rPr>
          <w:rFonts w:ascii="Times New Roman" w:hAnsi="Times New Roman" w:cs="Times New Roman"/>
          <w:sz w:val="24"/>
          <w:szCs w:val="24"/>
        </w:rPr>
        <w:t xml:space="preserve"> </w:t>
      </w:r>
      <w:r w:rsidRPr="000133F8">
        <w:rPr>
          <w:rFonts w:ascii="Times New Roman" w:hAnsi="Times New Roman" w:cs="Times New Roman"/>
          <w:sz w:val="24"/>
          <w:szCs w:val="24"/>
        </w:rPr>
        <w:t xml:space="preserve">The U.S.’s failure to ratify these instruments was raised by </w:t>
      </w:r>
      <w:r w:rsidR="00F0002A" w:rsidRPr="000133F8">
        <w:rPr>
          <w:rFonts w:ascii="Times New Roman" w:hAnsi="Times New Roman" w:cs="Times New Roman"/>
          <w:sz w:val="24"/>
          <w:szCs w:val="24"/>
        </w:rPr>
        <w:t xml:space="preserve">a number </w:t>
      </w:r>
      <w:r w:rsidRPr="000133F8">
        <w:rPr>
          <w:rFonts w:ascii="Times New Roman" w:hAnsi="Times New Roman" w:cs="Times New Roman"/>
          <w:sz w:val="24"/>
          <w:szCs w:val="24"/>
        </w:rPr>
        <w:t xml:space="preserve">UN </w:t>
      </w:r>
      <w:r w:rsidR="00F0002A" w:rsidRPr="000133F8">
        <w:rPr>
          <w:rFonts w:ascii="Times New Roman" w:hAnsi="Times New Roman" w:cs="Times New Roman"/>
          <w:sz w:val="24"/>
          <w:szCs w:val="24"/>
        </w:rPr>
        <w:t>H</w:t>
      </w:r>
      <w:r w:rsidRPr="000133F8">
        <w:rPr>
          <w:rFonts w:ascii="Times New Roman" w:hAnsi="Times New Roman" w:cs="Times New Roman"/>
          <w:sz w:val="24"/>
          <w:szCs w:val="24"/>
        </w:rPr>
        <w:t xml:space="preserve">uman Rights Council (HRC) member </w:t>
      </w:r>
      <w:r w:rsidR="00F0002A" w:rsidRPr="000133F8">
        <w:rPr>
          <w:rFonts w:ascii="Times New Roman" w:hAnsi="Times New Roman" w:cs="Times New Roman"/>
          <w:sz w:val="24"/>
          <w:szCs w:val="24"/>
        </w:rPr>
        <w:t>S</w:t>
      </w:r>
      <w:r w:rsidRPr="000133F8">
        <w:rPr>
          <w:rFonts w:ascii="Times New Roman" w:hAnsi="Times New Roman" w:cs="Times New Roman"/>
          <w:sz w:val="24"/>
          <w:szCs w:val="24"/>
        </w:rPr>
        <w:t xml:space="preserve">tates in the last Universal Periodic Review (UPR) in 2015.  </w:t>
      </w:r>
      <w:r w:rsidR="00F0002A" w:rsidRPr="000133F8">
        <w:rPr>
          <w:rFonts w:ascii="Times New Roman" w:hAnsi="Times New Roman" w:cs="Times New Roman"/>
          <w:sz w:val="24"/>
          <w:szCs w:val="24"/>
        </w:rPr>
        <w:t xml:space="preserve">However, as a signatory to </w:t>
      </w:r>
      <w:r w:rsidR="00696C30">
        <w:rPr>
          <w:rFonts w:ascii="Times New Roman" w:hAnsi="Times New Roman" w:cs="Times New Roman"/>
          <w:sz w:val="24"/>
          <w:szCs w:val="24"/>
        </w:rPr>
        <w:t xml:space="preserve"> </w:t>
      </w:r>
      <w:r w:rsidR="00F0002A" w:rsidRPr="000133F8">
        <w:rPr>
          <w:rFonts w:ascii="Times New Roman" w:hAnsi="Times New Roman" w:cs="Times New Roman"/>
          <w:sz w:val="24"/>
          <w:szCs w:val="24"/>
        </w:rPr>
        <w:t xml:space="preserve">these </w:t>
      </w:r>
      <w:r w:rsidR="00F0002A" w:rsidRPr="000133F8">
        <w:rPr>
          <w:rFonts w:ascii="Times New Roman" w:hAnsi="Times New Roman" w:cs="Times New Roman"/>
          <w:sz w:val="24"/>
          <w:szCs w:val="24"/>
        </w:rPr>
        <w:lastRenderedPageBreak/>
        <w:t xml:space="preserve">treaties, the U.S. </w:t>
      </w:r>
      <w:r w:rsidR="006E7B2F" w:rsidRPr="000133F8">
        <w:rPr>
          <w:rFonts w:ascii="Times New Roman" w:hAnsi="Times New Roman" w:cs="Times New Roman"/>
          <w:sz w:val="24"/>
          <w:szCs w:val="24"/>
        </w:rPr>
        <w:t>is “obliged to refrain from acts which would defeat the object and purpose” of these treaties.</w:t>
      </w:r>
      <w:r w:rsidR="006E7B2F" w:rsidRPr="000133F8">
        <w:rPr>
          <w:rStyle w:val="FootnoteReference"/>
          <w:rFonts w:ascii="Times New Roman" w:hAnsi="Times New Roman" w:cs="Times New Roman"/>
          <w:sz w:val="24"/>
          <w:szCs w:val="24"/>
        </w:rPr>
        <w:footnoteReference w:id="4"/>
      </w:r>
    </w:p>
    <w:p w14:paraId="2ED83DAC" w14:textId="77777777" w:rsidR="00F0002A" w:rsidRPr="000133F8" w:rsidRDefault="00F0002A"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addition to CEDAW’s protections for the right to health and safety cited by this Working Group</w:t>
      </w:r>
      <w:r w:rsidR="0071423E" w:rsidRPr="000133F8">
        <w:rPr>
          <w:rFonts w:ascii="Times New Roman" w:hAnsi="Times New Roman" w:cs="Times New Roman"/>
          <w:sz w:val="24"/>
          <w:szCs w:val="24"/>
        </w:rPr>
        <w:t xml:space="preserve"> in its call for submissions</w:t>
      </w:r>
      <w:r w:rsidRPr="000133F8">
        <w:rPr>
          <w:rFonts w:ascii="Times New Roman" w:hAnsi="Times New Roman" w:cs="Times New Roman"/>
          <w:sz w:val="24"/>
          <w:szCs w:val="24"/>
        </w:rPr>
        <w:t>, the CRPD obligates States parties to ensure all appropriate measures including legislative</w:t>
      </w:r>
      <w:r w:rsidR="0071423E" w:rsidRPr="000133F8">
        <w:rPr>
          <w:rFonts w:ascii="Times New Roman" w:hAnsi="Times New Roman" w:cs="Times New Roman"/>
          <w:sz w:val="24"/>
          <w:szCs w:val="24"/>
        </w:rPr>
        <w:t>,</w:t>
      </w:r>
      <w:r w:rsidRPr="000133F8">
        <w:rPr>
          <w:rFonts w:ascii="Times New Roman" w:hAnsi="Times New Roman" w:cs="Times New Roman"/>
          <w:sz w:val="24"/>
          <w:szCs w:val="24"/>
        </w:rPr>
        <w:t xml:space="preserve"> administrative, social, </w:t>
      </w:r>
      <w:r w:rsidR="0071423E" w:rsidRPr="000133F8">
        <w:rPr>
          <w:rFonts w:ascii="Times New Roman" w:hAnsi="Times New Roman" w:cs="Times New Roman"/>
          <w:sz w:val="24"/>
          <w:szCs w:val="24"/>
        </w:rPr>
        <w:t xml:space="preserve">and </w:t>
      </w:r>
      <w:r w:rsidRPr="000133F8">
        <w:rPr>
          <w:rFonts w:ascii="Times New Roman" w:hAnsi="Times New Roman" w:cs="Times New Roman"/>
          <w:sz w:val="24"/>
          <w:szCs w:val="24"/>
        </w:rPr>
        <w:t xml:space="preserve">educational are in place to protect persons with disabilities both within and outside of the home from all forms of exploitation, violence and abuse. States are obligated to ensure that protection services are age, gender and disability sensitive and that independent authorities monitor the facilities and programmes. </w:t>
      </w:r>
      <w:r w:rsidRPr="000133F8">
        <w:rPr>
          <w:rFonts w:ascii="Times New Roman" w:eastAsia="Times New Roman" w:hAnsi="Times New Roman" w:cs="Times New Roman"/>
          <w:sz w:val="24"/>
          <w:szCs w:val="24"/>
          <w:vertAlign w:val="superscript"/>
        </w:rPr>
        <w:footnoteReference w:id="5"/>
      </w:r>
      <w:r w:rsidRPr="000133F8">
        <w:rPr>
          <w:rFonts w:ascii="Times New Roman" w:hAnsi="Times New Roman" w:cs="Times New Roman"/>
          <w:sz w:val="24"/>
          <w:szCs w:val="24"/>
        </w:rPr>
        <w:t xml:space="preserve"> The CRPD further obligates States to eliminate discrimination against persons with disabilities and ensure they enjoy the rights on an equal basis with other</w:t>
      </w:r>
      <w:r w:rsidR="00696C30">
        <w:rPr>
          <w:rFonts w:ascii="Times New Roman" w:hAnsi="Times New Roman" w:cs="Times New Roman"/>
          <w:sz w:val="24"/>
          <w:szCs w:val="24"/>
        </w:rPr>
        <w:t>s</w:t>
      </w:r>
      <w:r w:rsidRPr="000133F8">
        <w:rPr>
          <w:rFonts w:ascii="Times New Roman" w:hAnsi="Times New Roman" w:cs="Times New Roman"/>
          <w:sz w:val="24"/>
          <w:szCs w:val="24"/>
        </w:rPr>
        <w:t xml:space="preserve"> when it comes to founding a family, and protects the right to decide on the number and spacing of their children and the information and means necessary to enable them </w:t>
      </w:r>
      <w:r w:rsidR="00696C30">
        <w:rPr>
          <w:rFonts w:ascii="Times New Roman" w:hAnsi="Times New Roman" w:cs="Times New Roman"/>
          <w:sz w:val="24"/>
          <w:szCs w:val="24"/>
        </w:rPr>
        <w:t xml:space="preserve">to </w:t>
      </w:r>
      <w:r w:rsidRPr="000133F8">
        <w:rPr>
          <w:rFonts w:ascii="Times New Roman" w:hAnsi="Times New Roman" w:cs="Times New Roman"/>
          <w:sz w:val="24"/>
          <w:szCs w:val="24"/>
        </w:rPr>
        <w:t xml:space="preserve">exercise their rights, as well as the right to retain fertility. </w:t>
      </w:r>
      <w:r w:rsidRPr="000133F8">
        <w:rPr>
          <w:rFonts w:ascii="Times New Roman" w:eastAsia="Times New Roman" w:hAnsi="Times New Roman" w:cs="Times New Roman"/>
          <w:sz w:val="24"/>
          <w:szCs w:val="24"/>
          <w:vertAlign w:val="superscript"/>
        </w:rPr>
        <w:footnoteReference w:id="6"/>
      </w:r>
      <w:r w:rsidRPr="000133F8">
        <w:rPr>
          <w:rFonts w:ascii="Times New Roman" w:hAnsi="Times New Roman" w:cs="Times New Roman"/>
          <w:sz w:val="24"/>
          <w:szCs w:val="24"/>
        </w:rPr>
        <w:t xml:space="preserve"> The CRPD also provides for the right to the highest attainable standard of health without discrimination on the basis of disability and that the health services are gender sensitive and include</w:t>
      </w:r>
      <w:r w:rsidR="00173D7C">
        <w:rPr>
          <w:rFonts w:ascii="Times New Roman" w:hAnsi="Times New Roman" w:cs="Times New Roman"/>
          <w:sz w:val="24"/>
          <w:szCs w:val="24"/>
        </w:rPr>
        <w:t xml:space="preserve"> sexual and reproductive health</w:t>
      </w:r>
      <w:r w:rsidRPr="000133F8">
        <w:rPr>
          <w:rFonts w:ascii="Times New Roman" w:hAnsi="Times New Roman" w:cs="Times New Roman"/>
          <w:sz w:val="24"/>
          <w:szCs w:val="24"/>
        </w:rPr>
        <w:t>care services.</w:t>
      </w:r>
      <w:r w:rsidRPr="000133F8">
        <w:rPr>
          <w:rFonts w:ascii="Times New Roman" w:eastAsia="Times New Roman" w:hAnsi="Times New Roman" w:cs="Times New Roman"/>
          <w:sz w:val="24"/>
          <w:szCs w:val="24"/>
          <w:vertAlign w:val="superscript"/>
        </w:rPr>
        <w:footnoteReference w:id="7"/>
      </w:r>
    </w:p>
    <w:p w14:paraId="38C2C1E8" w14:textId="77777777" w:rsidR="007274AA" w:rsidRPr="000133F8" w:rsidRDefault="00F0002A"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addition to being a signatory to the aforementioned treaties,</w:t>
      </w:r>
      <w:r w:rsidR="00B92747">
        <w:rPr>
          <w:rFonts w:ascii="Times New Roman" w:hAnsi="Times New Roman" w:cs="Times New Roman"/>
          <w:sz w:val="24"/>
          <w:szCs w:val="24"/>
        </w:rPr>
        <w:t xml:space="preserve"> however,</w:t>
      </w:r>
      <w:r w:rsidRPr="000133F8">
        <w:rPr>
          <w:rFonts w:ascii="Times New Roman" w:hAnsi="Times New Roman" w:cs="Times New Roman"/>
          <w:sz w:val="24"/>
          <w:szCs w:val="24"/>
        </w:rPr>
        <w:t xml:space="preserve"> t</w:t>
      </w:r>
      <w:r w:rsidR="007274AA" w:rsidRPr="000133F8">
        <w:rPr>
          <w:rFonts w:ascii="Times New Roman" w:hAnsi="Times New Roman" w:cs="Times New Roman"/>
          <w:sz w:val="24"/>
          <w:szCs w:val="24"/>
        </w:rPr>
        <w:t xml:space="preserve">he U.S. has ratified other international instruments that commit the United States </w:t>
      </w:r>
      <w:r w:rsidR="00B92747">
        <w:rPr>
          <w:rFonts w:ascii="Times New Roman" w:hAnsi="Times New Roman" w:cs="Times New Roman"/>
          <w:sz w:val="24"/>
          <w:szCs w:val="24"/>
        </w:rPr>
        <w:t xml:space="preserve">to ending gender discrimination, </w:t>
      </w:r>
      <w:r w:rsidR="007274AA" w:rsidRPr="000133F8">
        <w:rPr>
          <w:rFonts w:ascii="Times New Roman" w:hAnsi="Times New Roman" w:cs="Times New Roman"/>
          <w:sz w:val="24"/>
          <w:szCs w:val="24"/>
        </w:rPr>
        <w:t>promoting equality,</w:t>
      </w:r>
      <w:r w:rsidR="00B92747">
        <w:rPr>
          <w:rFonts w:ascii="Times New Roman" w:hAnsi="Times New Roman" w:cs="Times New Roman"/>
          <w:sz w:val="24"/>
          <w:szCs w:val="24"/>
        </w:rPr>
        <w:t xml:space="preserve"> and addressing ill treatment,</w:t>
      </w:r>
      <w:r w:rsidR="007274AA" w:rsidRPr="000133F8">
        <w:rPr>
          <w:rFonts w:ascii="Times New Roman" w:hAnsi="Times New Roman" w:cs="Times New Roman"/>
          <w:sz w:val="24"/>
          <w:szCs w:val="24"/>
        </w:rPr>
        <w:t xml:space="preserve"> specifically the International Covenant on Civil and Political Rights</w:t>
      </w:r>
      <w:r w:rsidR="00B92747">
        <w:rPr>
          <w:rFonts w:ascii="Times New Roman" w:hAnsi="Times New Roman" w:cs="Times New Roman"/>
          <w:sz w:val="24"/>
          <w:szCs w:val="24"/>
        </w:rPr>
        <w:t>, the Convention against Torture and Other Cruel, Inhuman or Degrading Treatment or Punishment,</w:t>
      </w:r>
      <w:r w:rsidR="007274AA" w:rsidRPr="000133F8">
        <w:rPr>
          <w:rFonts w:ascii="Times New Roman" w:hAnsi="Times New Roman" w:cs="Times New Roman"/>
          <w:sz w:val="24"/>
          <w:szCs w:val="24"/>
        </w:rPr>
        <w:t xml:space="preserve"> and the International Convention on the Elimination of All Forms of Racial Discrimination. As expressed in periodic reviews of treaty implementation, the U.S. understands its treaty obligations to include ending violence against women and ensuring access to sexual and reproductive health services for all.</w:t>
      </w:r>
      <w:r w:rsidR="007274AA" w:rsidRPr="000133F8">
        <w:rPr>
          <w:rFonts w:ascii="Times New Roman" w:eastAsia="Times New Roman" w:hAnsi="Times New Roman" w:cs="Times New Roman"/>
          <w:sz w:val="24"/>
          <w:szCs w:val="24"/>
          <w:vertAlign w:val="superscript"/>
        </w:rPr>
        <w:footnoteReference w:id="8"/>
      </w:r>
    </w:p>
    <w:p w14:paraId="2295B3A1" w14:textId="77777777" w:rsidR="007274AA" w:rsidRPr="000133F8" w:rsidRDefault="007274AA" w:rsidP="00AE0CEE">
      <w:pPr>
        <w:pStyle w:val="BodyA"/>
        <w:numPr>
          <w:ilvl w:val="1"/>
          <w:numId w:val="5"/>
        </w:numPr>
        <w:tabs>
          <w:tab w:val="left" w:pos="330"/>
          <w:tab w:val="left" w:pos="360"/>
        </w:tabs>
        <w:spacing w:after="200"/>
        <w:jc w:val="both"/>
        <w:rPr>
          <w:rFonts w:ascii="Times New Roman" w:eastAsia="Times New Roman" w:hAnsi="Times New Roman" w:cs="Times New Roman"/>
          <w:b/>
          <w:sz w:val="24"/>
          <w:szCs w:val="24"/>
        </w:rPr>
      </w:pPr>
      <w:r w:rsidRPr="000133F8">
        <w:rPr>
          <w:rFonts w:ascii="Times New Roman" w:hAnsi="Times New Roman" w:cs="Times New Roman"/>
          <w:b/>
          <w:sz w:val="24"/>
          <w:szCs w:val="24"/>
        </w:rPr>
        <w:t>U.S. Legislation and Regulatory Framework</w:t>
      </w:r>
    </w:p>
    <w:p w14:paraId="6418F2DD" w14:textId="77777777" w:rsidR="00A76422" w:rsidRPr="000133F8" w:rsidRDefault="00A76422" w:rsidP="00AE0CEE">
      <w:pPr>
        <w:pStyle w:val="NormalWeb"/>
        <w:spacing w:before="0" w:after="200"/>
        <w:jc w:val="both"/>
        <w:rPr>
          <w:rFonts w:hAnsi="Times New Roman" w:cs="Times New Roman"/>
        </w:rPr>
      </w:pPr>
      <w:r w:rsidRPr="000133F8">
        <w:rPr>
          <w:rFonts w:hAnsi="Times New Roman" w:cs="Times New Roman"/>
        </w:rPr>
        <w:t xml:space="preserve">The United States is a federal </w:t>
      </w:r>
      <w:r w:rsidR="00B92747">
        <w:rPr>
          <w:rFonts w:hAnsi="Times New Roman" w:cs="Times New Roman"/>
        </w:rPr>
        <w:t>system</w:t>
      </w:r>
      <w:r w:rsidRPr="000133F8">
        <w:rPr>
          <w:rFonts w:hAnsi="Times New Roman" w:cs="Times New Roman"/>
        </w:rPr>
        <w:t xml:space="preserve">, and many laws and policies on sexual and reproductive health, including </w:t>
      </w:r>
      <w:r w:rsidR="004D2F91" w:rsidRPr="000133F8">
        <w:rPr>
          <w:rFonts w:hAnsi="Times New Roman" w:cs="Times New Roman"/>
        </w:rPr>
        <w:t>on</w:t>
      </w:r>
      <w:r w:rsidRPr="000133F8">
        <w:rPr>
          <w:rFonts w:hAnsi="Times New Roman" w:cs="Times New Roman"/>
        </w:rPr>
        <w:t xml:space="preserve"> abortion</w:t>
      </w:r>
      <w:r w:rsidR="004D2F91" w:rsidRPr="000133F8">
        <w:rPr>
          <w:rFonts w:hAnsi="Times New Roman" w:cs="Times New Roman"/>
        </w:rPr>
        <w:t xml:space="preserve"> and surgical sterilization</w:t>
      </w:r>
      <w:r w:rsidRPr="000133F8">
        <w:rPr>
          <w:rFonts w:hAnsi="Times New Roman" w:cs="Times New Roman"/>
        </w:rPr>
        <w:t>, gender-based violence</w:t>
      </w:r>
      <w:r w:rsidR="00B92747">
        <w:rPr>
          <w:rFonts w:hAnsi="Times New Roman" w:cs="Times New Roman"/>
        </w:rPr>
        <w:t>, and marriage and divorce</w:t>
      </w:r>
      <w:r w:rsidRPr="000133F8">
        <w:rPr>
          <w:rFonts w:hAnsi="Times New Roman" w:cs="Times New Roman"/>
        </w:rPr>
        <w:t xml:space="preserve"> vary from state to state. This submission focuses primarily on national laws and policies that impact the health and safety of women with disabilities.</w:t>
      </w:r>
    </w:p>
    <w:p w14:paraId="2C29FE26"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The </w:t>
      </w:r>
      <w:r w:rsidRPr="00847274">
        <w:rPr>
          <w:rFonts w:hAnsi="Times New Roman" w:cs="Times New Roman"/>
          <w:b/>
        </w:rPr>
        <w:t>Americans with Disabilities Act, as amended, 2008 (ADA)</w:t>
      </w:r>
      <w:r w:rsidRPr="000133F8">
        <w:rPr>
          <w:rFonts w:hAnsi="Times New Roman" w:cs="Times New Roman"/>
        </w:rPr>
        <w:t xml:space="preserve"> enumerates requirements regarding non-discrimination and access to violence against women and sexual and reproductive health services and facilities. </w:t>
      </w:r>
      <w:r w:rsidR="00B92747">
        <w:rPr>
          <w:rFonts w:hAnsi="Times New Roman" w:cs="Times New Roman"/>
        </w:rPr>
        <w:t>T</w:t>
      </w:r>
      <w:r w:rsidRPr="000133F8">
        <w:rPr>
          <w:rFonts w:hAnsi="Times New Roman" w:cs="Times New Roman"/>
        </w:rPr>
        <w:t>he ADA prohibits healthcare providers, hospitals, and domestic and sexual violence shelters and programs from discriminating on the basis of disability in the full and equal enjoyment of goods, services, facilities, privileges, advantages or accommodations.</w:t>
      </w:r>
      <w:r w:rsidRPr="000133F8">
        <w:rPr>
          <w:rFonts w:eastAsia="Times New Roman" w:hAnsi="Times New Roman" w:cs="Times New Roman"/>
          <w:vertAlign w:val="superscript"/>
        </w:rPr>
        <w:footnoteReference w:id="9"/>
      </w:r>
    </w:p>
    <w:p w14:paraId="6207C6ED"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lastRenderedPageBreak/>
        <w:t>Stereotypes regarding the danger of procreation by women with disabilities are enshrined in state law. Eleven states retain statutory language authorizing a court to order the involuntary sterilization of a person with a disability.</w:t>
      </w:r>
      <w:r w:rsidRPr="000133F8">
        <w:rPr>
          <w:rFonts w:eastAsia="Times New Roman" w:hAnsi="Times New Roman" w:cs="Times New Roman"/>
          <w:vertAlign w:val="superscript"/>
        </w:rPr>
        <w:footnoteReference w:id="10"/>
      </w:r>
      <w:r w:rsidRPr="000133F8">
        <w:rPr>
          <w:rFonts w:hAnsi="Times New Roman" w:cs="Times New Roman"/>
        </w:rPr>
        <w:t xml:space="preserve"> Courts in the U.S. have addressed these issues, </w:t>
      </w:r>
      <w:r w:rsidR="004D2F91" w:rsidRPr="000133F8">
        <w:rPr>
          <w:rFonts w:hAnsi="Times New Roman" w:cs="Times New Roman"/>
        </w:rPr>
        <w:t xml:space="preserve">though </w:t>
      </w:r>
      <w:r w:rsidRPr="000133F8">
        <w:rPr>
          <w:rFonts w:hAnsi="Times New Roman" w:cs="Times New Roman"/>
        </w:rPr>
        <w:t>not always consistent with the requirements of the ADA.</w:t>
      </w:r>
      <w:r w:rsidRPr="000133F8">
        <w:rPr>
          <w:rFonts w:eastAsia="Times New Roman" w:hAnsi="Times New Roman" w:cs="Times New Roman"/>
          <w:vertAlign w:val="superscript"/>
        </w:rPr>
        <w:footnoteReference w:id="11"/>
      </w:r>
      <w:r w:rsidRPr="000133F8">
        <w:rPr>
          <w:rFonts w:hAnsi="Times New Roman" w:cs="Times New Roman"/>
        </w:rPr>
        <w:t xml:space="preserve"> Courts are divided on the legal capacity of women with disabilities to decide about their reproductive lives, particularly regarding the forced sterilization of young women and girls with disabilities, and there is no clear judicial standard that ensures reproductive decision-making resides with women.</w:t>
      </w:r>
      <w:r w:rsidRPr="000133F8">
        <w:rPr>
          <w:rFonts w:eastAsia="Times New Roman" w:hAnsi="Times New Roman" w:cs="Times New Roman"/>
          <w:vertAlign w:val="superscript"/>
        </w:rPr>
        <w:footnoteReference w:id="12"/>
      </w:r>
    </w:p>
    <w:p w14:paraId="5F676B1B" w14:textId="77777777" w:rsidR="007274AA" w:rsidRPr="000133F8" w:rsidRDefault="007274AA" w:rsidP="00AE0CEE">
      <w:pPr>
        <w:pStyle w:val="NormalWeb"/>
        <w:spacing w:before="0" w:after="200"/>
        <w:jc w:val="both"/>
        <w:rPr>
          <w:rFonts w:hAnsi="Times New Roman" w:cs="Times New Roman"/>
        </w:rPr>
      </w:pPr>
      <w:r w:rsidRPr="00173D7C">
        <w:rPr>
          <w:rFonts w:hAnsi="Times New Roman" w:cs="Times New Roman"/>
        </w:rPr>
        <w:t>Section</w:t>
      </w:r>
      <w:r w:rsidRPr="00847274">
        <w:rPr>
          <w:rFonts w:hAnsi="Times New Roman" w:cs="Times New Roman"/>
          <w:b/>
        </w:rPr>
        <w:t xml:space="preserve"> 504 of the Rehabilitation Act of 1973</w:t>
      </w:r>
      <w:r w:rsidRPr="000133F8">
        <w:rPr>
          <w:rFonts w:hAnsi="Times New Roman" w:cs="Times New Roman"/>
        </w:rPr>
        <w:t xml:space="preserve"> requires that any program receiving federal financial assistance be accessible to and usable by persons with disabilities.</w:t>
      </w:r>
      <w:r w:rsidRPr="000133F8">
        <w:rPr>
          <w:rFonts w:eastAsia="Times New Roman" w:hAnsi="Times New Roman" w:cs="Times New Roman"/>
          <w:vertAlign w:val="superscript"/>
        </w:rPr>
        <w:footnoteReference w:id="13"/>
      </w:r>
      <w:r w:rsidRPr="000133F8">
        <w:rPr>
          <w:rFonts w:hAnsi="Times New Roman" w:cs="Times New Roman"/>
        </w:rPr>
        <w:t xml:space="preserve"> U.S. Department of Health and Human Services (HHS) Office for Civil Rights (OCR) handles Section 504 complaints regarding healthcare services. In 2010, OCR published guidelines for medical providers concerning accessibility, but these are not binding regulations.</w:t>
      </w:r>
      <w:r w:rsidRPr="000133F8">
        <w:rPr>
          <w:rFonts w:eastAsia="Times New Roman" w:hAnsi="Times New Roman" w:cs="Times New Roman"/>
          <w:vertAlign w:val="superscript"/>
        </w:rPr>
        <w:footnoteReference w:id="14"/>
      </w:r>
      <w:r w:rsidRPr="000133F8">
        <w:rPr>
          <w:rFonts w:hAnsi="Times New Roman" w:cs="Times New Roman"/>
        </w:rPr>
        <w:t xml:space="preserve"> OCR has enforcement power under additional legislation relating to disability discrimination in health</w:t>
      </w:r>
      <w:r w:rsidRPr="000133F8">
        <w:rPr>
          <w:rFonts w:eastAsia="Times New Roman" w:hAnsi="Times New Roman" w:cs="Times New Roman"/>
          <w:vertAlign w:val="superscript"/>
        </w:rPr>
        <w:footnoteReference w:id="15"/>
      </w:r>
      <w:r w:rsidRPr="000133F8">
        <w:rPr>
          <w:rFonts w:hAnsi="Times New Roman" w:cs="Times New Roman"/>
        </w:rPr>
        <w:t xml:space="preserve"> and family violence protection.</w:t>
      </w:r>
      <w:r w:rsidRPr="000133F8">
        <w:rPr>
          <w:rFonts w:eastAsia="Times New Roman" w:hAnsi="Times New Roman" w:cs="Times New Roman"/>
          <w:vertAlign w:val="superscript"/>
        </w:rPr>
        <w:footnoteReference w:id="16"/>
      </w:r>
      <w:r w:rsidRPr="000133F8">
        <w:rPr>
          <w:rFonts w:hAnsi="Times New Roman" w:cs="Times New Roman"/>
        </w:rPr>
        <w:t xml:space="preserve"> </w:t>
      </w:r>
    </w:p>
    <w:p w14:paraId="1D84D210"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Through the </w:t>
      </w:r>
      <w:r w:rsidRPr="00847274">
        <w:rPr>
          <w:rFonts w:hAnsi="Times New Roman" w:cs="Times New Roman"/>
          <w:b/>
        </w:rPr>
        <w:t>Violence Against Women Act of 2013 (VAWA)</w:t>
      </w:r>
      <w:r w:rsidRPr="000133F8">
        <w:rPr>
          <w:rFonts w:hAnsi="Times New Roman" w:cs="Times New Roman"/>
        </w:rPr>
        <w:t>,</w:t>
      </w:r>
      <w:r w:rsidRPr="000133F8">
        <w:rPr>
          <w:rFonts w:eastAsia="Times New Roman" w:hAnsi="Times New Roman" w:cs="Times New Roman"/>
          <w:vertAlign w:val="superscript"/>
        </w:rPr>
        <w:footnoteReference w:id="17"/>
      </w:r>
      <w:r w:rsidRPr="000133F8">
        <w:rPr>
          <w:rFonts w:hAnsi="Times New Roman" w:cs="Times New Roman"/>
        </w:rPr>
        <w:t xml:space="preserve"> the D</w:t>
      </w:r>
      <w:r w:rsidR="00EE2082" w:rsidRPr="000133F8">
        <w:rPr>
          <w:rFonts w:hAnsi="Times New Roman" w:cs="Times New Roman"/>
        </w:rPr>
        <w:t xml:space="preserve">epartment of </w:t>
      </w:r>
      <w:r w:rsidRPr="000133F8">
        <w:rPr>
          <w:rFonts w:hAnsi="Times New Roman" w:cs="Times New Roman"/>
        </w:rPr>
        <w:t>J</w:t>
      </w:r>
      <w:r w:rsidR="00EE2082" w:rsidRPr="000133F8">
        <w:rPr>
          <w:rFonts w:hAnsi="Times New Roman" w:cs="Times New Roman"/>
        </w:rPr>
        <w:t>ustice</w:t>
      </w:r>
      <w:r w:rsidRPr="000133F8">
        <w:rPr>
          <w:rFonts w:hAnsi="Times New Roman" w:cs="Times New Roman"/>
          <w:lang w:val="fr-FR"/>
        </w:rPr>
        <w:t>’</w:t>
      </w:r>
      <w:r w:rsidRPr="000133F8">
        <w:rPr>
          <w:rFonts w:hAnsi="Times New Roman" w:cs="Times New Roman"/>
        </w:rPr>
        <w:t>s</w:t>
      </w:r>
      <w:r w:rsidR="00EE2082" w:rsidRPr="000133F8">
        <w:rPr>
          <w:rFonts w:hAnsi="Times New Roman" w:cs="Times New Roman"/>
        </w:rPr>
        <w:t xml:space="preserve"> (DOJ)</w:t>
      </w:r>
      <w:r w:rsidRPr="000133F8">
        <w:rPr>
          <w:rFonts w:hAnsi="Times New Roman" w:cs="Times New Roman"/>
        </w:rPr>
        <w:t xml:space="preserve"> Office on Violence Against Women funds a limited number of programs, including programs specifically designed to address violence and abuse of women with disabilities.</w:t>
      </w:r>
      <w:r w:rsidRPr="000133F8">
        <w:rPr>
          <w:rFonts w:eastAsia="Times New Roman" w:hAnsi="Times New Roman" w:cs="Times New Roman"/>
          <w:vertAlign w:val="superscript"/>
        </w:rPr>
        <w:footnoteReference w:id="18"/>
      </w:r>
      <w:r w:rsidRPr="000133F8">
        <w:rPr>
          <w:rFonts w:hAnsi="Times New Roman" w:cs="Times New Roman"/>
        </w:rPr>
        <w:t xml:space="preserve"> Very few programs receive this funding, especially since funding was reduced from $10 million to $9 million in the VAWA 2013 reauthorization. In fiscal year 2013 there were only nine disability grant recipients in seven states and the total amount allocated through the Disability Gr</w:t>
      </w:r>
      <w:r w:rsidR="0071423E" w:rsidRPr="000133F8">
        <w:rPr>
          <w:rFonts w:hAnsi="Times New Roman" w:cs="Times New Roman"/>
        </w:rPr>
        <w:t xml:space="preserve">ant Program was a devastatingly </w:t>
      </w:r>
      <w:r w:rsidRPr="000133F8">
        <w:rPr>
          <w:rFonts w:hAnsi="Times New Roman" w:cs="Times New Roman"/>
        </w:rPr>
        <w:t>inadequate 1.02% of the total allocated by OVW.</w:t>
      </w:r>
      <w:r w:rsidRPr="000133F8">
        <w:rPr>
          <w:rFonts w:eastAsia="Times New Roman" w:hAnsi="Times New Roman" w:cs="Times New Roman"/>
          <w:vertAlign w:val="superscript"/>
        </w:rPr>
        <w:footnoteReference w:id="19"/>
      </w:r>
      <w:r w:rsidRPr="000133F8">
        <w:rPr>
          <w:rFonts w:hAnsi="Times New Roman" w:cs="Times New Roman"/>
        </w:rPr>
        <w:t xml:space="preserve"> </w:t>
      </w:r>
    </w:p>
    <w:p w14:paraId="0B7B6ED5"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lastRenderedPageBreak/>
        <w:t xml:space="preserve">The </w:t>
      </w:r>
      <w:r w:rsidRPr="00847274">
        <w:rPr>
          <w:rFonts w:hAnsi="Times New Roman" w:cs="Times New Roman"/>
          <w:b/>
        </w:rPr>
        <w:t>Prison Rape Elimination Act of 2003</w:t>
      </w:r>
      <w:r w:rsidRPr="00847274">
        <w:rPr>
          <w:rFonts w:eastAsia="Times New Roman" w:hAnsi="Times New Roman" w:cs="Times New Roman"/>
          <w:vertAlign w:val="superscript"/>
        </w:rPr>
        <w:footnoteReference w:id="20"/>
      </w:r>
      <w:r w:rsidRPr="00847274">
        <w:rPr>
          <w:rFonts w:hAnsi="Times New Roman" w:cs="Times New Roman"/>
        </w:rPr>
        <w:t xml:space="preserve"> </w:t>
      </w:r>
      <w:r w:rsidRPr="00847274">
        <w:rPr>
          <w:rFonts w:hAnsi="Times New Roman" w:cs="Times New Roman"/>
          <w:b/>
        </w:rPr>
        <w:t>(PREA)</w:t>
      </w:r>
      <w:r w:rsidRPr="000133F8">
        <w:rPr>
          <w:rFonts w:hAnsi="Times New Roman" w:cs="Times New Roman"/>
        </w:rPr>
        <w:t xml:space="preserve"> recognizes that inmates with psycho-social and other disabilities are at “increased risk of sexual victimization.”</w:t>
      </w:r>
      <w:r w:rsidRPr="000133F8">
        <w:rPr>
          <w:rFonts w:eastAsia="Times New Roman" w:hAnsi="Times New Roman" w:cs="Times New Roman"/>
          <w:vertAlign w:val="superscript"/>
        </w:rPr>
        <w:footnoteReference w:id="21"/>
      </w:r>
      <w:r w:rsidRPr="000133F8">
        <w:rPr>
          <w:rFonts w:hAnsi="Times New Roman" w:cs="Times New Roman"/>
        </w:rPr>
        <w:t xml:space="preserve"> However, </w:t>
      </w:r>
      <w:r w:rsidR="00EE2082" w:rsidRPr="000133F8">
        <w:rPr>
          <w:rFonts w:hAnsi="Times New Roman" w:cs="Times New Roman"/>
        </w:rPr>
        <w:t xml:space="preserve">the </w:t>
      </w:r>
      <w:r w:rsidRPr="000133F8">
        <w:rPr>
          <w:rFonts w:hAnsi="Times New Roman" w:cs="Times New Roman"/>
        </w:rPr>
        <w:t>DOJ has failed to document or collect data on violence against female prisoners with disabilities, as required by PREA.</w:t>
      </w:r>
      <w:r w:rsidRPr="000133F8">
        <w:rPr>
          <w:rFonts w:eastAsia="Times New Roman" w:hAnsi="Times New Roman" w:cs="Times New Roman"/>
          <w:vertAlign w:val="superscript"/>
        </w:rPr>
        <w:footnoteReference w:id="22"/>
      </w:r>
      <w:r w:rsidRPr="000133F8">
        <w:rPr>
          <w:rFonts w:hAnsi="Times New Roman" w:cs="Times New Roman"/>
        </w:rPr>
        <w:t xml:space="preserve"> </w:t>
      </w:r>
    </w:p>
    <w:p w14:paraId="19578BA4" w14:textId="56CF4635"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The </w:t>
      </w:r>
      <w:r w:rsidRPr="00847274">
        <w:rPr>
          <w:rFonts w:hAnsi="Times New Roman" w:cs="Times New Roman"/>
          <w:b/>
        </w:rPr>
        <w:t>Patient and Protection Affordable Care Act of 2010</w:t>
      </w:r>
      <w:r w:rsidR="00EE2082" w:rsidRPr="00847274">
        <w:rPr>
          <w:rFonts w:hAnsi="Times New Roman" w:cs="Times New Roman"/>
          <w:b/>
        </w:rPr>
        <w:t xml:space="preserve"> </w:t>
      </w:r>
      <w:r w:rsidRPr="00847274">
        <w:rPr>
          <w:rFonts w:hAnsi="Times New Roman" w:cs="Times New Roman"/>
          <w:b/>
        </w:rPr>
        <w:t>(ACA)</w:t>
      </w:r>
      <w:r w:rsidRPr="000133F8">
        <w:rPr>
          <w:rFonts w:hAnsi="Times New Roman" w:cs="Times New Roman"/>
        </w:rPr>
        <w:t xml:space="preserve"> mandated coverage in health plans for women</w:t>
      </w:r>
      <w:r w:rsidRPr="000133F8">
        <w:rPr>
          <w:rFonts w:hAnsi="Times New Roman" w:cs="Times New Roman"/>
          <w:lang w:val="fr-FR"/>
        </w:rPr>
        <w:t>’</w:t>
      </w:r>
      <w:r w:rsidRPr="000133F8">
        <w:rPr>
          <w:rFonts w:hAnsi="Times New Roman" w:cs="Times New Roman"/>
        </w:rPr>
        <w:t>s preventive health care, including contraception.</w:t>
      </w:r>
      <w:r w:rsidRPr="000133F8">
        <w:rPr>
          <w:rFonts w:eastAsia="Times New Roman" w:hAnsi="Times New Roman" w:cs="Times New Roman"/>
          <w:vertAlign w:val="superscript"/>
        </w:rPr>
        <w:footnoteReference w:id="23"/>
      </w:r>
      <w:r w:rsidRPr="000133F8">
        <w:rPr>
          <w:rFonts w:hAnsi="Times New Roman" w:cs="Times New Roman"/>
        </w:rPr>
        <w:t xml:space="preserve"> In 2012, the U.S. Access Board recommended, pursuant to the ACA, improved accessibility standards for medical diagnostic equipment (e.g., exam tables, chairs, tables) inclusive of sexual and reproductive healthcare access.</w:t>
      </w:r>
      <w:r w:rsidRPr="000133F8">
        <w:rPr>
          <w:rFonts w:eastAsia="Times New Roman" w:hAnsi="Times New Roman" w:cs="Times New Roman"/>
          <w:vertAlign w:val="superscript"/>
        </w:rPr>
        <w:footnoteReference w:id="24"/>
      </w:r>
      <w:r w:rsidRPr="000133F8">
        <w:rPr>
          <w:rFonts w:hAnsi="Times New Roman" w:cs="Times New Roman"/>
        </w:rPr>
        <w:t xml:space="preserve"> Yet, as of September 2014, no standards have been finalized, leaving women with disabilities without access to services important for their health.</w:t>
      </w:r>
      <w:r w:rsidRPr="000133F8">
        <w:rPr>
          <w:rFonts w:eastAsia="Times New Roman" w:hAnsi="Times New Roman" w:cs="Times New Roman"/>
          <w:vertAlign w:val="superscript"/>
        </w:rPr>
        <w:footnoteReference w:id="25"/>
      </w:r>
      <w:r w:rsidRPr="000133F8">
        <w:rPr>
          <w:rFonts w:hAnsi="Times New Roman" w:cs="Times New Roman"/>
        </w:rPr>
        <w:t xml:space="preserve"> The ACA also acknowledges that existing abortion restrictions impact all health plans offered through the state exchanges, and it all allows state insurance plans to exclude abortions. An executive order signed by President Obama following passage of the legislation creates an enforcement mechanism to ensure no federal funding covers abortion according to the terms of the Hyde Amendment, which prohibits federal insurance coverage for abortion under Medicaid except in the very limited circumstances of rape, incest or life endangerment.</w:t>
      </w:r>
      <w:r w:rsidR="002D1F07" w:rsidRPr="000133F8">
        <w:rPr>
          <w:rFonts w:eastAsia="Times New Roman" w:hAnsi="Times New Roman" w:cs="Times New Roman"/>
          <w:vertAlign w:val="superscript"/>
        </w:rPr>
        <w:footnoteReference w:id="26"/>
      </w:r>
      <w:r w:rsidRPr="000133F8">
        <w:rPr>
          <w:rFonts w:hAnsi="Times New Roman" w:cs="Times New Roman"/>
        </w:rPr>
        <w:t xml:space="preserve"> The Hyde Amendment disproportionately impacts women with disabilities because most receive their insurance through Medicare (the federal health insurance program for those over age 65 and for certain younger people with disabilities) or Medicaid (a joint federal and state program that covers low-income Americans). Only 17 states fund all or most </w:t>
      </w:r>
      <w:r w:rsidR="00AD2F15" w:rsidRPr="000133F8">
        <w:rPr>
          <w:rFonts w:hAnsi="Times New Roman" w:cs="Times New Roman"/>
        </w:rPr>
        <w:t>medically necessary</w:t>
      </w:r>
      <w:r w:rsidRPr="000133F8">
        <w:rPr>
          <w:rFonts w:hAnsi="Times New Roman" w:cs="Times New Roman"/>
        </w:rPr>
        <w:t xml:space="preserve"> abortions beyond the federal requirements.</w:t>
      </w:r>
      <w:r w:rsidRPr="000133F8">
        <w:rPr>
          <w:rFonts w:eastAsia="Times New Roman" w:hAnsi="Times New Roman" w:cs="Times New Roman"/>
          <w:vertAlign w:val="superscript"/>
        </w:rPr>
        <w:footnoteReference w:id="27"/>
      </w:r>
      <w:r w:rsidRPr="000133F8">
        <w:rPr>
          <w:rFonts w:hAnsi="Times New Roman" w:cs="Times New Roman"/>
        </w:rPr>
        <w:t xml:space="preserve"> </w:t>
      </w:r>
    </w:p>
    <w:p w14:paraId="4E94D723"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Proposed regulations to </w:t>
      </w:r>
      <w:r w:rsidRPr="00847274">
        <w:rPr>
          <w:rFonts w:hAnsi="Times New Roman" w:cs="Times New Roman"/>
          <w:b/>
        </w:rPr>
        <w:t>Title IX of the Education Amendments of 1972 (Title IX)</w:t>
      </w:r>
      <w:r w:rsidRPr="000133F8">
        <w:rPr>
          <w:rFonts w:eastAsia="Times New Roman" w:hAnsi="Times New Roman" w:cs="Times New Roman"/>
          <w:vertAlign w:val="superscript"/>
        </w:rPr>
        <w:footnoteReference w:id="28"/>
      </w:r>
      <w:r w:rsidRPr="000133F8">
        <w:rPr>
          <w:rFonts w:hAnsi="Times New Roman" w:cs="Times New Roman"/>
        </w:rPr>
        <w:t xml:space="preserve"> draw on VAWA and would require schools and educational institutions to compile statistics on incidents of dating violence, domestic violence, sexual assault, and stalking and to include certain policies, procedures, and programs pertaining thereto, including to prevent and address complaints of such violence.</w:t>
      </w:r>
      <w:r w:rsidRPr="000133F8">
        <w:rPr>
          <w:rFonts w:eastAsia="Times New Roman" w:hAnsi="Times New Roman" w:cs="Times New Roman"/>
          <w:vertAlign w:val="superscript"/>
        </w:rPr>
        <w:footnoteReference w:id="29"/>
      </w:r>
      <w:r w:rsidRPr="000133F8">
        <w:rPr>
          <w:rFonts w:hAnsi="Times New Roman" w:cs="Times New Roman"/>
        </w:rPr>
        <w:t xml:space="preserve"> Female students with disabilities frequently experience sexual and gender-based violence in schools</w:t>
      </w:r>
      <w:r w:rsidRPr="000133F8">
        <w:rPr>
          <w:rFonts w:eastAsia="Times New Roman" w:hAnsi="Times New Roman" w:cs="Times New Roman"/>
          <w:vertAlign w:val="superscript"/>
        </w:rPr>
        <w:footnoteReference w:id="30"/>
      </w:r>
      <w:r w:rsidRPr="000133F8">
        <w:rPr>
          <w:rFonts w:hAnsi="Times New Roman" w:cs="Times New Roman"/>
        </w:rPr>
        <w:t xml:space="preserve"> and thus require greater recognition in campus gender-based violence </w:t>
      </w:r>
      <w:r w:rsidRPr="000133F8">
        <w:rPr>
          <w:rFonts w:hAnsi="Times New Roman" w:cs="Times New Roman"/>
        </w:rPr>
        <w:lastRenderedPageBreak/>
        <w:t>prevention and complaint processes and proposed Title IX regulations fail significantly in this regard.</w:t>
      </w:r>
      <w:r w:rsidRPr="000133F8">
        <w:rPr>
          <w:rFonts w:eastAsia="Times New Roman" w:hAnsi="Times New Roman" w:cs="Times New Roman"/>
          <w:vertAlign w:val="superscript"/>
        </w:rPr>
        <w:footnoteReference w:id="31"/>
      </w:r>
    </w:p>
    <w:p w14:paraId="3F0E3B46" w14:textId="77777777" w:rsidR="00AD2F15" w:rsidRPr="000133F8" w:rsidRDefault="007274AA" w:rsidP="00AE0CEE">
      <w:pPr>
        <w:pStyle w:val="NormalWeb"/>
        <w:spacing w:before="0" w:after="200"/>
        <w:jc w:val="both"/>
        <w:rPr>
          <w:rFonts w:hAnsi="Times New Roman" w:cs="Times New Roman"/>
        </w:rPr>
      </w:pPr>
      <w:r w:rsidRPr="00847274">
        <w:rPr>
          <w:rFonts w:hAnsi="Times New Roman" w:cs="Times New Roman"/>
          <w:b/>
        </w:rPr>
        <w:t>Individuals with Disabilities Education Act of 2004 (IDEA)</w:t>
      </w:r>
      <w:r w:rsidRPr="000133F8">
        <w:rPr>
          <w:rFonts w:hAnsi="Times New Roman" w:cs="Times New Roman"/>
        </w:rPr>
        <w:t xml:space="preserve"> regulations require a “free appropriate public education” for all children with disabilities.</w:t>
      </w:r>
      <w:r w:rsidRPr="000133F8">
        <w:rPr>
          <w:rFonts w:eastAsia="Times New Roman" w:hAnsi="Times New Roman" w:cs="Times New Roman"/>
          <w:vertAlign w:val="superscript"/>
        </w:rPr>
        <w:footnoteReference w:id="32"/>
      </w:r>
      <w:r w:rsidRPr="000133F8">
        <w:rPr>
          <w:rFonts w:hAnsi="Times New Roman" w:cs="Times New Roman"/>
        </w:rPr>
        <w:t xml:space="preserve"> Although IDEA regulations </w:t>
      </w:r>
      <w:r w:rsidRPr="000133F8">
        <w:rPr>
          <w:rFonts w:hAnsi="Times New Roman" w:cs="Times New Roman"/>
          <w:shd w:val="clear" w:color="auto" w:fill="FFFFFF"/>
        </w:rPr>
        <w:t>mandate a variety of educational programs, they fail to include requirements for essential sexual and reproductive health education.</w:t>
      </w:r>
      <w:r w:rsidRPr="000133F8">
        <w:rPr>
          <w:rFonts w:eastAsia="Times New Roman" w:hAnsi="Times New Roman" w:cs="Times New Roman"/>
          <w:shd w:val="clear" w:color="auto" w:fill="FFFFFF"/>
          <w:vertAlign w:val="superscript"/>
        </w:rPr>
        <w:footnoteReference w:id="33"/>
      </w:r>
      <w:r w:rsidRPr="000133F8">
        <w:rPr>
          <w:rFonts w:hAnsi="Times New Roman" w:cs="Times New Roman"/>
        </w:rPr>
        <w:t xml:space="preserve"> </w:t>
      </w:r>
    </w:p>
    <w:p w14:paraId="2004B2F1" w14:textId="77777777" w:rsidR="000B583A" w:rsidRPr="000133F8" w:rsidRDefault="00173D7C" w:rsidP="00AE0CEE">
      <w:pPr>
        <w:pStyle w:val="ListParagraph"/>
        <w:numPr>
          <w:ilvl w:val="0"/>
          <w:numId w:val="5"/>
        </w:numPr>
        <w:jc w:val="both"/>
        <w:rPr>
          <w:rFonts w:cs="Times New Roman"/>
          <w:b/>
          <w:sz w:val="24"/>
        </w:rPr>
      </w:pPr>
      <w:r>
        <w:rPr>
          <w:rFonts w:cs="Times New Roman"/>
          <w:b/>
          <w:sz w:val="24"/>
        </w:rPr>
        <w:t>Discrimination against Women with Disabilities in Practice</w:t>
      </w:r>
    </w:p>
    <w:p w14:paraId="6F51781A" w14:textId="77777777" w:rsidR="00AD2F15" w:rsidRPr="000133F8" w:rsidRDefault="00AD2F15" w:rsidP="00AE0CEE">
      <w:pPr>
        <w:pStyle w:val="ListParagraph"/>
        <w:ind w:left="1080"/>
        <w:jc w:val="both"/>
        <w:rPr>
          <w:rFonts w:cs="Times New Roman"/>
          <w:b/>
          <w:sz w:val="24"/>
        </w:rPr>
      </w:pPr>
    </w:p>
    <w:p w14:paraId="23797243" w14:textId="77777777" w:rsidR="000B583A" w:rsidRPr="000133F8" w:rsidRDefault="000B583A" w:rsidP="00AE0CEE">
      <w:pPr>
        <w:pStyle w:val="ListParagraph"/>
        <w:numPr>
          <w:ilvl w:val="1"/>
          <w:numId w:val="5"/>
        </w:numPr>
        <w:jc w:val="both"/>
        <w:rPr>
          <w:rFonts w:cs="Times New Roman"/>
          <w:b/>
          <w:sz w:val="24"/>
        </w:rPr>
      </w:pPr>
      <w:r w:rsidRPr="000133F8">
        <w:rPr>
          <w:rFonts w:cs="Times New Roman"/>
          <w:b/>
          <w:sz w:val="24"/>
        </w:rPr>
        <w:t>Sexual and Reproductive Health and Rights</w:t>
      </w:r>
    </w:p>
    <w:p w14:paraId="05212EB7" w14:textId="77777777" w:rsidR="007F4AA6" w:rsidRPr="00882D8D" w:rsidRDefault="007F4AA6" w:rsidP="00882D8D">
      <w:pPr>
        <w:jc w:val="both"/>
        <w:rPr>
          <w:rFonts w:cs="Times New Roman"/>
          <w:sz w:val="24"/>
        </w:rPr>
      </w:pPr>
      <w:r w:rsidRPr="007F4AA6">
        <w:rPr>
          <w:rFonts w:cs="Times New Roman"/>
          <w:sz w:val="24"/>
        </w:rPr>
        <w:t>Women and girls with disabilities lack appropriate, consistent, non-discriminatory, and affordable access to sexual and reproductive health</w:t>
      </w:r>
      <w:r w:rsidR="00173D7C">
        <w:rPr>
          <w:rFonts w:cs="Times New Roman"/>
          <w:sz w:val="24"/>
        </w:rPr>
        <w:t xml:space="preserve"> </w:t>
      </w:r>
      <w:r w:rsidRPr="007F4AA6">
        <w:rPr>
          <w:rFonts w:cs="Times New Roman"/>
          <w:sz w:val="24"/>
        </w:rPr>
        <w:t xml:space="preserve">services. The numerous barriers to access </w:t>
      </w:r>
      <w:r w:rsidR="00173D7C">
        <w:rPr>
          <w:rFonts w:cs="Times New Roman"/>
          <w:sz w:val="24"/>
        </w:rPr>
        <w:t>cause</w:t>
      </w:r>
      <w:r w:rsidRPr="007F4AA6">
        <w:rPr>
          <w:rFonts w:cs="Times New Roman"/>
          <w:sz w:val="24"/>
        </w:rPr>
        <w:t xml:space="preserve"> women with disabilities </w:t>
      </w:r>
      <w:r w:rsidR="00173D7C">
        <w:rPr>
          <w:rFonts w:cs="Times New Roman"/>
          <w:sz w:val="24"/>
        </w:rPr>
        <w:t xml:space="preserve">to </w:t>
      </w:r>
      <w:r w:rsidRPr="007F4AA6">
        <w:rPr>
          <w:rFonts w:cs="Times New Roman"/>
          <w:sz w:val="24"/>
        </w:rPr>
        <w:t>avoid seeking out regular gynecological care.</w:t>
      </w:r>
      <w:r w:rsidRPr="007F4AA6">
        <w:rPr>
          <w:vertAlign w:val="superscript"/>
        </w:rPr>
        <w:footnoteReference w:id="34"/>
      </w:r>
      <w:r w:rsidRPr="007F4AA6">
        <w:rPr>
          <w:rFonts w:cs="Times New Roman"/>
          <w:sz w:val="24"/>
        </w:rPr>
        <w:t xml:space="preserve"> As a result, they are less likely to receive preventive reproductive health care such as pelvic and breast exams t</w:t>
      </w:r>
      <w:r w:rsidR="00173D7C">
        <w:rPr>
          <w:rFonts w:cs="Times New Roman"/>
          <w:sz w:val="24"/>
        </w:rPr>
        <w:t>hat detect reproductive cancers</w:t>
      </w:r>
      <w:r w:rsidRPr="007F4AA6">
        <w:rPr>
          <w:rFonts w:cs="Times New Roman"/>
          <w:sz w:val="24"/>
        </w:rPr>
        <w:t xml:space="preserve"> or to speak with health professionals about their reproductive options.</w:t>
      </w:r>
      <w:r w:rsidRPr="007F4AA6">
        <w:rPr>
          <w:vertAlign w:val="superscript"/>
        </w:rPr>
        <w:footnoteReference w:id="35"/>
      </w:r>
      <w:r w:rsidRPr="007F4AA6">
        <w:rPr>
          <w:rFonts w:cs="Times New Roman"/>
          <w:sz w:val="24"/>
        </w:rPr>
        <w:t xml:space="preserve">  </w:t>
      </w:r>
    </w:p>
    <w:p w14:paraId="6509C2B3" w14:textId="77777777" w:rsidR="003F0DD1"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 xml:space="preserve">Physical </w:t>
      </w:r>
      <w:r w:rsidR="00173D7C">
        <w:rPr>
          <w:rFonts w:cs="Times New Roman"/>
          <w:b/>
          <w:sz w:val="24"/>
        </w:rPr>
        <w:t>A</w:t>
      </w:r>
      <w:r w:rsidRPr="003F0DD1">
        <w:rPr>
          <w:rFonts w:cs="Times New Roman"/>
          <w:b/>
          <w:sz w:val="24"/>
        </w:rPr>
        <w:t xml:space="preserve">ccess to </w:t>
      </w:r>
      <w:r w:rsidR="00173D7C">
        <w:rPr>
          <w:rFonts w:cs="Times New Roman"/>
          <w:b/>
          <w:sz w:val="24"/>
        </w:rPr>
        <w:t>H</w:t>
      </w:r>
      <w:r w:rsidRPr="003F0DD1">
        <w:rPr>
          <w:rFonts w:cs="Times New Roman"/>
          <w:b/>
          <w:sz w:val="24"/>
        </w:rPr>
        <w:t xml:space="preserve">ealth </w:t>
      </w:r>
      <w:r w:rsidR="00173D7C">
        <w:rPr>
          <w:rFonts w:cs="Times New Roman"/>
          <w:b/>
          <w:sz w:val="24"/>
        </w:rPr>
        <w:t>F</w:t>
      </w:r>
      <w:r w:rsidRPr="003F0DD1">
        <w:rPr>
          <w:rFonts w:cs="Times New Roman"/>
          <w:b/>
          <w:sz w:val="24"/>
        </w:rPr>
        <w:t>acilities</w:t>
      </w:r>
    </w:p>
    <w:p w14:paraId="427F2AEA" w14:textId="77777777" w:rsidR="007F4AA6" w:rsidRPr="007F4AA6" w:rsidRDefault="007F4AA6" w:rsidP="00882D8D">
      <w:pPr>
        <w:jc w:val="both"/>
        <w:rPr>
          <w:rFonts w:cs="Times New Roman"/>
          <w:sz w:val="24"/>
        </w:rPr>
      </w:pPr>
      <w:r w:rsidRPr="003F0DD1">
        <w:rPr>
          <w:rFonts w:cs="Times New Roman"/>
          <w:sz w:val="24"/>
        </w:rPr>
        <w:t>The most common reason women with disabilities do not obtain preventive reproductive health services is the lack of physical accommodation in health facilities.</w:t>
      </w:r>
      <w:r w:rsidRPr="007F4AA6">
        <w:rPr>
          <w:vertAlign w:val="superscript"/>
        </w:rPr>
        <w:footnoteReference w:id="36"/>
      </w:r>
      <w:r w:rsidRPr="003F0DD1">
        <w:rPr>
          <w:rFonts w:cs="Times New Roman"/>
          <w:sz w:val="24"/>
        </w:rPr>
        <w:t xml:space="preserve"> For example, many facilities lack accessible exam and diagnostic equipment such as mammogram machines and adjustable examination tables. The lack of physical accessibility, combined with transportation difficulties to healthcare facilities, prevent women with disabilities from seeking necessary reproductive health services such as breast cancer screenings.</w:t>
      </w:r>
      <w:r w:rsidRPr="007F4AA6">
        <w:rPr>
          <w:vertAlign w:val="superscript"/>
        </w:rPr>
        <w:footnoteReference w:id="37"/>
      </w:r>
      <w:r w:rsidRPr="003F0DD1">
        <w:rPr>
          <w:rFonts w:cs="Times New Roman"/>
          <w:sz w:val="24"/>
        </w:rPr>
        <w:t xml:space="preserve"> A 2010 study by the Center for Disease Control found that 61% of women with disabilities aged 50-74 had gone for a mammogram in </w:t>
      </w:r>
      <w:r w:rsidRPr="003F0DD1">
        <w:rPr>
          <w:rFonts w:cs="Times New Roman"/>
          <w:sz w:val="24"/>
        </w:rPr>
        <w:lastRenderedPageBreak/>
        <w:t>the past two years, compared to 75% of women without disabilities.</w:t>
      </w:r>
      <w:r w:rsidRPr="007F4AA6">
        <w:rPr>
          <w:vertAlign w:val="superscript"/>
        </w:rPr>
        <w:footnoteReference w:id="38"/>
      </w:r>
      <w:r w:rsidRPr="003F0DD1">
        <w:rPr>
          <w:rFonts w:cs="Times New Roman"/>
          <w:sz w:val="24"/>
        </w:rPr>
        <w:t xml:space="preserve"> These barriers place women with disabilities at a high risk for breast cancer incidence and death.</w:t>
      </w:r>
      <w:r w:rsidRPr="007F4AA6">
        <w:rPr>
          <w:vertAlign w:val="superscript"/>
        </w:rPr>
        <w:footnoteReference w:id="39"/>
      </w:r>
      <w:r w:rsidRPr="003F0DD1">
        <w:rPr>
          <w:rFonts w:cs="Times New Roman"/>
          <w:sz w:val="24"/>
        </w:rPr>
        <w:t xml:space="preserve"> </w:t>
      </w:r>
      <w:r w:rsidR="00882D8D">
        <w:rPr>
          <w:rFonts w:cs="Times New Roman"/>
          <w:sz w:val="24"/>
        </w:rPr>
        <w:tab/>
      </w:r>
    </w:p>
    <w:p w14:paraId="239E1D57" w14:textId="77777777" w:rsidR="007F4AA6"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Lack of Health Information Specific to Women with Disabilities</w:t>
      </w:r>
    </w:p>
    <w:p w14:paraId="03D84D47" w14:textId="77777777" w:rsidR="007F4AA6" w:rsidRPr="003F0DD1" w:rsidRDefault="007F4AA6" w:rsidP="00AE0CEE">
      <w:pPr>
        <w:jc w:val="both"/>
        <w:rPr>
          <w:rFonts w:cs="Times New Roman"/>
          <w:sz w:val="24"/>
        </w:rPr>
      </w:pPr>
      <w:r w:rsidRPr="003F0DD1">
        <w:rPr>
          <w:rFonts w:cs="Times New Roman"/>
          <w:sz w:val="24"/>
        </w:rPr>
        <w:t>Communication barriers also limit access for women with disabilities, especially those who are deaf or blind, as limited health facilities have sign language interpreters, personnel willing to read information to patients, or alternative means of delivering information.</w:t>
      </w:r>
      <w:r w:rsidRPr="007F4AA6">
        <w:rPr>
          <w:vertAlign w:val="superscript"/>
        </w:rPr>
        <w:footnoteReference w:id="40"/>
      </w:r>
      <w:r w:rsidRPr="003F0DD1">
        <w:rPr>
          <w:rFonts w:cs="Times New Roman"/>
          <w:sz w:val="24"/>
        </w:rPr>
        <w:t xml:space="preserve"> People with developmental disabilities report communication difficulties with some providers; there is often not enough time allotted during visits to have a comprehensive discussion of complex health issues, and information is often not delivered in an appropriate format.</w:t>
      </w:r>
      <w:r w:rsidRPr="007F4AA6">
        <w:rPr>
          <w:vertAlign w:val="superscript"/>
        </w:rPr>
        <w:footnoteReference w:id="41"/>
      </w:r>
      <w:r w:rsidRPr="003F0DD1">
        <w:rPr>
          <w:rFonts w:cs="Times New Roman"/>
          <w:sz w:val="24"/>
        </w:rPr>
        <w:t xml:space="preserve"> </w:t>
      </w:r>
    </w:p>
    <w:p w14:paraId="1C1958E3" w14:textId="77777777" w:rsidR="007F4AA6" w:rsidRPr="00882D8D" w:rsidRDefault="007F4AA6" w:rsidP="00882D8D">
      <w:pPr>
        <w:jc w:val="both"/>
        <w:rPr>
          <w:rFonts w:cs="Times New Roman"/>
          <w:sz w:val="24"/>
        </w:rPr>
      </w:pPr>
      <w:r w:rsidRPr="003F0DD1">
        <w:rPr>
          <w:rFonts w:cs="Times New Roman"/>
          <w:sz w:val="24"/>
        </w:rPr>
        <w:t>Sexuality education is</w:t>
      </w:r>
      <w:r w:rsidR="00034275">
        <w:rPr>
          <w:rFonts w:cs="Times New Roman"/>
          <w:sz w:val="24"/>
        </w:rPr>
        <w:t xml:space="preserve"> essential to empowering women and girls </w:t>
      </w:r>
      <w:r w:rsidR="00034275" w:rsidRPr="00034275">
        <w:rPr>
          <w:rFonts w:cs="Times New Roman"/>
          <w:sz w:val="24"/>
        </w:rPr>
        <w:t xml:space="preserve">with the necessary information to protect themselves from sexual abuse; negotiate contraceptive use in order to prevent unwanted pregnancies and </w:t>
      </w:r>
      <w:r w:rsidR="00034275">
        <w:rPr>
          <w:rFonts w:cs="Times New Roman"/>
          <w:sz w:val="24"/>
        </w:rPr>
        <w:t>sexually transmitted infections (STIs)</w:t>
      </w:r>
      <w:r w:rsidR="00034275" w:rsidRPr="00034275">
        <w:rPr>
          <w:rFonts w:cs="Times New Roman"/>
          <w:sz w:val="24"/>
        </w:rPr>
        <w:t>, including HIV/AIDS; and access sexual and reproductive health services on the basis of free and informed consent</w:t>
      </w:r>
      <w:r w:rsidR="00034275">
        <w:rPr>
          <w:rFonts w:cs="Times New Roman"/>
          <w:sz w:val="24"/>
        </w:rPr>
        <w:t>. Yet sexuality education is</w:t>
      </w:r>
      <w:r w:rsidRPr="003F0DD1">
        <w:rPr>
          <w:rFonts w:cs="Times New Roman"/>
          <w:sz w:val="24"/>
        </w:rPr>
        <w:t xml:space="preserve"> generally not offered in education programs designed for people with disabilities,</w:t>
      </w:r>
      <w:r w:rsidRPr="007F4AA6">
        <w:rPr>
          <w:vertAlign w:val="superscript"/>
        </w:rPr>
        <w:footnoteReference w:id="42"/>
      </w:r>
      <w:r w:rsidRPr="003F0DD1">
        <w:rPr>
          <w:rFonts w:cs="Times New Roman"/>
          <w:sz w:val="24"/>
        </w:rPr>
        <w:t xml:space="preserve"> and young people with disabilities are often excluded from school-based sexuality education and resources.</w:t>
      </w:r>
      <w:r w:rsidRPr="007F4AA6">
        <w:rPr>
          <w:vertAlign w:val="superscript"/>
        </w:rPr>
        <w:footnoteReference w:id="43"/>
      </w:r>
      <w:r w:rsidRPr="003F0DD1">
        <w:rPr>
          <w:rFonts w:cs="Times New Roman"/>
          <w:sz w:val="24"/>
        </w:rPr>
        <w:t xml:space="preserve"> One U.S. study showed that only 19% of physically disabled women surveyed had received sexuality counseling, and women with paralysis, impaired motor function or obvious physical disability were rarely offered contraceptive methods or information.</w:t>
      </w:r>
      <w:r w:rsidRPr="007F4AA6">
        <w:rPr>
          <w:vertAlign w:val="superscript"/>
        </w:rPr>
        <w:footnoteReference w:id="44"/>
      </w:r>
      <w:r w:rsidRPr="003F0DD1">
        <w:rPr>
          <w:rFonts w:cs="Times New Roman"/>
          <w:sz w:val="24"/>
        </w:rPr>
        <w:t xml:space="preserve"> This poses potentially significant negative health outcomes for girls with disabilities; a 2008 study found that girls with learning and cognitive disabilities might </w:t>
      </w:r>
      <w:r w:rsidR="002A79B4">
        <w:rPr>
          <w:rFonts w:cs="Times New Roman"/>
          <w:sz w:val="24"/>
        </w:rPr>
        <w:t>[do we need to say “might” rather than “are placed at”?]</w:t>
      </w:r>
      <w:r w:rsidRPr="003F0DD1">
        <w:rPr>
          <w:rFonts w:cs="Times New Roman"/>
          <w:sz w:val="24"/>
        </w:rPr>
        <w:t xml:space="preserve">be at an increased risk of contracting </w:t>
      </w:r>
      <w:r w:rsidR="00034275">
        <w:rPr>
          <w:rFonts w:cs="Times New Roman"/>
          <w:sz w:val="24"/>
        </w:rPr>
        <w:t>STIs</w:t>
      </w:r>
      <w:r w:rsidRPr="003F0DD1">
        <w:rPr>
          <w:rFonts w:cs="Times New Roman"/>
          <w:sz w:val="24"/>
        </w:rPr>
        <w:t xml:space="preserve"> than their peers without developmental disabilities.</w:t>
      </w:r>
      <w:r w:rsidRPr="007F4AA6">
        <w:rPr>
          <w:vertAlign w:val="superscript"/>
        </w:rPr>
        <w:footnoteReference w:id="45"/>
      </w:r>
      <w:r w:rsidRPr="003F0DD1">
        <w:rPr>
          <w:rFonts w:cs="Times New Roman"/>
          <w:sz w:val="24"/>
        </w:rPr>
        <w:t xml:space="preserve"> Lack of sexuality education also deprives girls with disabilities with the skills to recognize and prevent sexual abuse, which women with disabilities</w:t>
      </w:r>
      <w:r w:rsidR="00034275">
        <w:rPr>
          <w:rFonts w:cs="Times New Roman"/>
          <w:sz w:val="24"/>
        </w:rPr>
        <w:t xml:space="preserve"> experience at higher rates than women without disabilities</w:t>
      </w:r>
      <w:r w:rsidRPr="003F0DD1">
        <w:rPr>
          <w:rFonts w:cs="Times New Roman"/>
          <w:sz w:val="24"/>
        </w:rPr>
        <w:t>.</w:t>
      </w:r>
      <w:r w:rsidRPr="007F4AA6">
        <w:rPr>
          <w:vertAlign w:val="superscript"/>
        </w:rPr>
        <w:footnoteReference w:id="46"/>
      </w:r>
      <w:r w:rsidRPr="003F0DD1">
        <w:rPr>
          <w:rFonts w:cs="Times New Roman"/>
          <w:sz w:val="24"/>
        </w:rPr>
        <w:t xml:space="preserve"> </w:t>
      </w:r>
    </w:p>
    <w:p w14:paraId="1373C9DE" w14:textId="77777777" w:rsidR="007F4AA6"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 xml:space="preserve">Lack of Affordable Care </w:t>
      </w:r>
    </w:p>
    <w:p w14:paraId="5C141579" w14:textId="77777777" w:rsidR="007F4AA6" w:rsidRPr="00AE0CEE" w:rsidRDefault="007F4AA6" w:rsidP="00AE0CEE">
      <w:pPr>
        <w:jc w:val="both"/>
        <w:rPr>
          <w:rFonts w:cs="Times New Roman"/>
          <w:sz w:val="24"/>
        </w:rPr>
      </w:pPr>
      <w:r w:rsidRPr="003F0DD1">
        <w:rPr>
          <w:rFonts w:cs="Times New Roman"/>
          <w:sz w:val="24"/>
        </w:rPr>
        <w:t xml:space="preserve">Because women with disabilities have higher rates of unemployment and poverty than the general population, they are far less likely to have private insurance to cover reproductive health </w:t>
      </w:r>
      <w:r w:rsidRPr="003F0DD1">
        <w:rPr>
          <w:rFonts w:cs="Times New Roman"/>
          <w:sz w:val="24"/>
        </w:rPr>
        <w:lastRenderedPageBreak/>
        <w:t>goods and services.</w:t>
      </w:r>
      <w:r w:rsidRPr="007F4AA6">
        <w:rPr>
          <w:vertAlign w:val="superscript"/>
        </w:rPr>
        <w:footnoteReference w:id="47"/>
      </w:r>
      <w:r w:rsidRPr="003F0DD1">
        <w:rPr>
          <w:rFonts w:cs="Times New Roman"/>
          <w:sz w:val="24"/>
        </w:rPr>
        <w:t xml:space="preserve"> Pursuant to the ACA, Medicaid beneficiaries enrolled in Alternative Benefit Plans no longer have to pay </w:t>
      </w:r>
      <w:r w:rsidR="00034275" w:rsidRPr="003F0DD1">
        <w:rPr>
          <w:rFonts w:cs="Times New Roman"/>
          <w:sz w:val="24"/>
        </w:rPr>
        <w:t>cost sharing</w:t>
      </w:r>
      <w:r w:rsidRPr="003F0DD1">
        <w:rPr>
          <w:rFonts w:cs="Times New Roman"/>
          <w:sz w:val="24"/>
        </w:rPr>
        <w:t xml:space="preserve"> for preventive services including mammograms and Pap smears. However, women with disabilities can face difficulties in locating and accessing reproductive healthcare providers who have the training and clinics that are able to accommodate their needs.</w:t>
      </w:r>
      <w:r w:rsidRPr="007F4AA6">
        <w:rPr>
          <w:vertAlign w:val="superscript"/>
        </w:rPr>
        <w:footnoteReference w:id="48"/>
      </w:r>
      <w:r w:rsidRPr="003F0DD1">
        <w:rPr>
          <w:rFonts w:cs="Times New Roman"/>
          <w:sz w:val="24"/>
        </w:rPr>
        <w:t xml:space="preserve"> Unfortunately, the Centers for Medicare and Medicaid Services do not conduct oversight of ADA compliance by states, health plans, or medical providers.</w:t>
      </w:r>
      <w:r w:rsidRPr="007F4AA6">
        <w:rPr>
          <w:vertAlign w:val="superscript"/>
        </w:rPr>
        <w:footnoteReference w:id="49"/>
      </w:r>
      <w:r w:rsidRPr="003F0DD1">
        <w:rPr>
          <w:rFonts w:cs="Times New Roman"/>
          <w:sz w:val="24"/>
        </w:rPr>
        <w:t xml:space="preserve"> </w:t>
      </w:r>
    </w:p>
    <w:p w14:paraId="0988BC45" w14:textId="77777777" w:rsidR="003F0DD1"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Discrimination and Provider Bias</w:t>
      </w:r>
    </w:p>
    <w:p w14:paraId="5DAB5976" w14:textId="77777777" w:rsidR="007F4AA6" w:rsidRPr="003F0DD1" w:rsidRDefault="007F4AA6" w:rsidP="00AE0CEE">
      <w:pPr>
        <w:jc w:val="both"/>
        <w:rPr>
          <w:rFonts w:cs="Times New Roman"/>
          <w:sz w:val="24"/>
          <w:u w:val="single"/>
        </w:rPr>
      </w:pPr>
      <w:r w:rsidRPr="003F0DD1">
        <w:rPr>
          <w:rFonts w:cs="Times New Roman"/>
          <w:sz w:val="24"/>
        </w:rPr>
        <w:t>Negative stereotypes about women with disabilities interfere with quality of and access to care. Research has shown that women with disabilities and non-disabled women have similar attitudes towards motherhood, but mothers with disabilities are less likely to want another child than are mothers without disabilities.</w:t>
      </w:r>
      <w:r w:rsidRPr="007F4AA6">
        <w:rPr>
          <w:vertAlign w:val="superscript"/>
        </w:rPr>
        <w:footnoteReference w:id="50"/>
      </w:r>
      <w:r w:rsidRPr="003F0DD1">
        <w:rPr>
          <w:rFonts w:cs="Times New Roman"/>
          <w:sz w:val="24"/>
        </w:rPr>
        <w:t xml:space="preserve"> However, the National Council on Disability has found that physicians see women with disabilities as sexually inactive and, thus, not in need of reproductive care.</w:t>
      </w:r>
      <w:r w:rsidRPr="007F4AA6">
        <w:rPr>
          <w:vertAlign w:val="superscript"/>
        </w:rPr>
        <w:footnoteReference w:id="51"/>
      </w:r>
      <w:r w:rsidRPr="003F0DD1">
        <w:rPr>
          <w:rFonts w:cs="Times New Roman"/>
          <w:sz w:val="24"/>
        </w:rPr>
        <w:t xml:space="preserve"> Other studies reveal that physician’s attitudes towards patients with disabilities are sometimes more negative than that of the general public, including that physicians “underestimate the quality of life of persons with disabilities”</w:t>
      </w:r>
      <w:r w:rsidRPr="007F4AA6">
        <w:rPr>
          <w:vertAlign w:val="superscript"/>
        </w:rPr>
        <w:footnoteReference w:id="52"/>
      </w:r>
      <w:r w:rsidRPr="003F0DD1">
        <w:rPr>
          <w:rFonts w:cs="Times New Roman"/>
          <w:sz w:val="24"/>
        </w:rPr>
        <w:t xml:space="preserve"> and view every woman with a disability as incapable of making their own decisions.</w:t>
      </w:r>
      <w:r w:rsidRPr="007F4AA6">
        <w:rPr>
          <w:vertAlign w:val="superscript"/>
        </w:rPr>
        <w:footnoteReference w:id="53"/>
      </w:r>
    </w:p>
    <w:p w14:paraId="1193FF21" w14:textId="77777777" w:rsidR="007F4AA6" w:rsidRPr="00882D8D" w:rsidRDefault="007F4AA6" w:rsidP="00882D8D">
      <w:pPr>
        <w:jc w:val="both"/>
        <w:rPr>
          <w:rFonts w:cs="Times New Roman"/>
          <w:sz w:val="24"/>
        </w:rPr>
      </w:pPr>
      <w:r w:rsidRPr="003F0DD1">
        <w:rPr>
          <w:rFonts w:cs="Times New Roman"/>
          <w:sz w:val="24"/>
        </w:rPr>
        <w:t>Research shows that physicians not only lack training in treating patients with disabilities</w:t>
      </w:r>
      <w:r w:rsidRPr="007F4AA6">
        <w:rPr>
          <w:vertAlign w:val="superscript"/>
        </w:rPr>
        <w:footnoteReference w:id="54"/>
      </w:r>
      <w:r w:rsidRPr="003F0DD1">
        <w:rPr>
          <w:rFonts w:cs="Times New Roman"/>
          <w:sz w:val="24"/>
        </w:rPr>
        <w:t xml:space="preserve"> but also feel uncomfortable and reluctant to treat persons with disabilities.</w:t>
      </w:r>
      <w:r w:rsidRPr="007F4AA6">
        <w:rPr>
          <w:vertAlign w:val="superscript"/>
        </w:rPr>
        <w:footnoteReference w:id="55"/>
      </w:r>
      <w:r w:rsidRPr="003F0DD1">
        <w:rPr>
          <w:rFonts w:cs="Times New Roman"/>
          <w:sz w:val="24"/>
        </w:rPr>
        <w:t xml:space="preserve"> The National Council on Disability has noted that “the absence of professional training on disability competency issues for healthcare practitioners is one of the most significant barriers preventing people with disabilities from receiving appropriate and effective healthcare.”</w:t>
      </w:r>
      <w:r w:rsidRPr="007F4AA6">
        <w:rPr>
          <w:vertAlign w:val="superscript"/>
        </w:rPr>
        <w:footnoteReference w:id="56"/>
      </w:r>
      <w:r w:rsidRPr="003F0DD1">
        <w:rPr>
          <w:rFonts w:cs="Times New Roman"/>
          <w:sz w:val="24"/>
        </w:rPr>
        <w:t xml:space="preserve"> Women with disabilities report feeling humiliated and frustrated, concerned about physician competence, and lacking in trust for their physician.</w:t>
      </w:r>
      <w:r w:rsidRPr="007F4AA6">
        <w:rPr>
          <w:vertAlign w:val="superscript"/>
        </w:rPr>
        <w:footnoteReference w:id="57"/>
      </w:r>
      <w:r w:rsidRPr="003F0DD1">
        <w:rPr>
          <w:rFonts w:cs="Times New Roman"/>
          <w:sz w:val="24"/>
        </w:rPr>
        <w:t xml:space="preserve"> For example, women with schizophrenia not only experience higher rates of unintended pregnancy than women from the general population, but they experience higher rates of obstetric complications and may be more susceptible to episodes of schizophrenia during the </w:t>
      </w:r>
      <w:r w:rsidRPr="003F0DD1">
        <w:rPr>
          <w:rFonts w:cs="Times New Roman"/>
          <w:sz w:val="24"/>
        </w:rPr>
        <w:lastRenderedPageBreak/>
        <w:t>postpartum period. In spite of these challenges, the reproductive health needs of women with psychiatric disorders are often overlooked.</w:t>
      </w:r>
      <w:r w:rsidRPr="007F4AA6">
        <w:rPr>
          <w:vertAlign w:val="superscript"/>
        </w:rPr>
        <w:footnoteReference w:id="58"/>
      </w:r>
    </w:p>
    <w:p w14:paraId="75AF40BE" w14:textId="77777777" w:rsidR="007F4AA6" w:rsidRPr="007F4AA6" w:rsidRDefault="007F4AA6" w:rsidP="00AE0CEE">
      <w:pPr>
        <w:pStyle w:val="ListParagraph"/>
        <w:ind w:left="0"/>
        <w:jc w:val="both"/>
        <w:rPr>
          <w:rFonts w:cs="Times New Roman"/>
          <w:sz w:val="24"/>
        </w:rPr>
      </w:pPr>
      <w:r w:rsidRPr="007F4AA6">
        <w:rPr>
          <w:rFonts w:cs="Times New Roman"/>
          <w:sz w:val="24"/>
        </w:rPr>
        <w:t>The prevalence of stereotypes and lack of provider training make healthcare providers significantly less likely to ask women with disabilities about their use of or need for contraceptives.</w:t>
      </w:r>
      <w:r w:rsidRPr="007F4AA6">
        <w:rPr>
          <w:rFonts w:cs="Times New Roman"/>
          <w:sz w:val="24"/>
          <w:vertAlign w:val="superscript"/>
        </w:rPr>
        <w:footnoteReference w:id="59"/>
      </w:r>
      <w:r w:rsidRPr="007F4AA6">
        <w:rPr>
          <w:rFonts w:cs="Times New Roman"/>
          <w:sz w:val="24"/>
        </w:rPr>
        <w:t xml:space="preserve"> This is especially troubling because women with disabilities are at an increased risk of unintended pregnancy due to the difficulty of using barrier contraceptives and heightened risks of complications from using birth control pills in conjunction with other medications they might be taking.</w:t>
      </w:r>
      <w:r w:rsidRPr="007F4AA6">
        <w:rPr>
          <w:rFonts w:cs="Times New Roman"/>
          <w:sz w:val="24"/>
          <w:vertAlign w:val="superscript"/>
        </w:rPr>
        <w:footnoteReference w:id="60"/>
      </w:r>
      <w:r w:rsidRPr="007F4AA6">
        <w:rPr>
          <w:rFonts w:cs="Times New Roman"/>
          <w:sz w:val="24"/>
        </w:rPr>
        <w:t xml:space="preserve"> Evidence also indicates that women with disabilities are denied access to reproductive technologies,</w:t>
      </w:r>
      <w:r w:rsidRPr="007F4AA6">
        <w:rPr>
          <w:rFonts w:cs="Times New Roman"/>
          <w:sz w:val="24"/>
          <w:vertAlign w:val="superscript"/>
        </w:rPr>
        <w:footnoteReference w:id="61"/>
      </w:r>
      <w:r w:rsidRPr="007F4AA6">
        <w:rPr>
          <w:rFonts w:cs="Times New Roman"/>
          <w:sz w:val="24"/>
        </w:rPr>
        <w:t xml:space="preserve"> not provided guidance on pregnancy or prenatal care, and are often pressured into obtaining abortions or genetic testing.</w:t>
      </w:r>
      <w:r w:rsidRPr="007F4AA6">
        <w:rPr>
          <w:rFonts w:cs="Times New Roman"/>
          <w:sz w:val="24"/>
          <w:vertAlign w:val="superscript"/>
        </w:rPr>
        <w:footnoteReference w:id="62"/>
      </w:r>
      <w:r w:rsidRPr="007F4AA6">
        <w:rPr>
          <w:rFonts w:cs="Times New Roman"/>
          <w:sz w:val="24"/>
        </w:rPr>
        <w:t xml:space="preserve"> Additionally, women with disabilities are often discouraged from getting screened for </w:t>
      </w:r>
      <w:r w:rsidR="00034275">
        <w:rPr>
          <w:rFonts w:cs="Times New Roman"/>
          <w:sz w:val="24"/>
        </w:rPr>
        <w:t>STIs</w:t>
      </w:r>
      <w:r w:rsidRPr="007F4AA6">
        <w:rPr>
          <w:rFonts w:cs="Times New Roman"/>
          <w:sz w:val="24"/>
        </w:rPr>
        <w:t xml:space="preserve"> because many doctors believe women with disabilities are not sexually active and could not contract such diseases.</w:t>
      </w:r>
      <w:r w:rsidRPr="007F4AA6">
        <w:rPr>
          <w:rFonts w:cs="Times New Roman"/>
          <w:sz w:val="24"/>
          <w:vertAlign w:val="superscript"/>
        </w:rPr>
        <w:footnoteReference w:id="63"/>
      </w:r>
      <w:r w:rsidRPr="007F4AA6">
        <w:rPr>
          <w:rFonts w:cs="Times New Roman"/>
          <w:sz w:val="24"/>
        </w:rPr>
        <w:t xml:space="preserve"> Many who do get screened avoid future routine visits to gynecologists because of this lack of provider knowledge and sensitivity that often leads to “uncomfortable, embarrassing, or painful examinations.”</w:t>
      </w:r>
    </w:p>
    <w:p w14:paraId="5F53BC39" w14:textId="77777777" w:rsidR="007F4AA6" w:rsidRPr="000133F8" w:rsidRDefault="007F4AA6" w:rsidP="00AE0CEE">
      <w:pPr>
        <w:pStyle w:val="ListParagraph"/>
        <w:ind w:left="1440"/>
        <w:jc w:val="both"/>
        <w:rPr>
          <w:rFonts w:cs="Times New Roman"/>
          <w:b/>
          <w:sz w:val="24"/>
        </w:rPr>
      </w:pPr>
    </w:p>
    <w:p w14:paraId="2A68B2A5" w14:textId="77777777" w:rsidR="000B583A" w:rsidRPr="000133F8" w:rsidRDefault="000B583A" w:rsidP="00AE0CEE">
      <w:pPr>
        <w:pStyle w:val="ListParagraph"/>
        <w:numPr>
          <w:ilvl w:val="1"/>
          <w:numId w:val="5"/>
        </w:numPr>
        <w:jc w:val="both"/>
        <w:rPr>
          <w:rFonts w:cs="Times New Roman"/>
          <w:b/>
          <w:sz w:val="24"/>
        </w:rPr>
      </w:pPr>
      <w:r w:rsidRPr="000133F8">
        <w:rPr>
          <w:rFonts w:cs="Times New Roman"/>
          <w:b/>
          <w:sz w:val="24"/>
        </w:rPr>
        <w:t>Gender-Based Violence in the Public Sphere</w:t>
      </w:r>
    </w:p>
    <w:p w14:paraId="0D9A38EA" w14:textId="77777777" w:rsidR="000B583A" w:rsidRPr="000133F8" w:rsidRDefault="000B583A" w:rsidP="00AE0CEE">
      <w:pPr>
        <w:pStyle w:val="ListParagraph"/>
        <w:ind w:left="1440"/>
        <w:jc w:val="both"/>
        <w:rPr>
          <w:rFonts w:cs="Times New Roman"/>
          <w:b/>
          <w:sz w:val="24"/>
        </w:rPr>
      </w:pPr>
    </w:p>
    <w:p w14:paraId="70861BBB" w14:textId="77777777" w:rsidR="00E50425" w:rsidRDefault="000133F8" w:rsidP="00AE0CEE">
      <w:pPr>
        <w:pStyle w:val="ListParagraph"/>
        <w:ind w:left="0"/>
        <w:jc w:val="both"/>
        <w:rPr>
          <w:rFonts w:cs="Times New Roman"/>
          <w:sz w:val="24"/>
        </w:rPr>
      </w:pPr>
      <w:r w:rsidRPr="000133F8">
        <w:rPr>
          <w:rFonts w:cs="Times New Roman"/>
          <w:sz w:val="24"/>
        </w:rPr>
        <w:t xml:space="preserve">Although women with disabilities experience many of the same forms of violence all women experience, when gender and disability intersect, violence takes on unique forms, has unique causes, and results in unique consequences.  Multiple and intersecting forms of discrimination contribute to and exacerbate the violence, and </w:t>
      </w:r>
      <w:r w:rsidR="00034275">
        <w:rPr>
          <w:rFonts w:cs="Times New Roman"/>
          <w:sz w:val="24"/>
        </w:rPr>
        <w:t>women with disabilities</w:t>
      </w:r>
      <w:r w:rsidRPr="000133F8">
        <w:rPr>
          <w:rFonts w:cs="Times New Roman"/>
          <w:sz w:val="24"/>
        </w:rPr>
        <w:t xml:space="preserve"> who are also people of color or members of minority or indigenous peoples or religious groups, who are lesbian, transgender or intersex, who are older, or who live in poverty can be subject to particularized forms of violence and discrimination.</w:t>
      </w:r>
      <w:r w:rsidRPr="000133F8">
        <w:rPr>
          <w:rFonts w:eastAsia="Times New Roman" w:cs="Times New Roman"/>
          <w:sz w:val="24"/>
          <w:vertAlign w:val="superscript"/>
        </w:rPr>
        <w:footnoteReference w:id="64"/>
      </w:r>
      <w:r w:rsidRPr="000133F8">
        <w:rPr>
          <w:rFonts w:cs="Times New Roman"/>
          <w:sz w:val="24"/>
        </w:rPr>
        <w:t xml:space="preserve"> Violence against women with disabilities occurs in various spheres including the home and the community. Violence is perpetrated and/or condoned by the State and private actors within public and private institutions and in the transnational sphere. The forms of violence to which women and girls with disabilities are subjected are varied, including physical, psychological, sexual or financial violence, neglect, social isolation, entrapment, degradati</w:t>
      </w:r>
      <w:r w:rsidR="00173D7C">
        <w:rPr>
          <w:rFonts w:cs="Times New Roman"/>
          <w:sz w:val="24"/>
        </w:rPr>
        <w:t xml:space="preserve">on, detention, denial of health </w:t>
      </w:r>
      <w:r w:rsidRPr="000133F8">
        <w:rPr>
          <w:rFonts w:cs="Times New Roman"/>
          <w:sz w:val="24"/>
        </w:rPr>
        <w:t xml:space="preserve">care and forced sterilization and psychiatric treatment, among others. </w:t>
      </w:r>
    </w:p>
    <w:p w14:paraId="63E2D403" w14:textId="77777777" w:rsidR="00E50425" w:rsidRDefault="00E50425" w:rsidP="00AE0CEE">
      <w:pPr>
        <w:pStyle w:val="ListParagraph"/>
        <w:ind w:left="0"/>
        <w:jc w:val="both"/>
        <w:rPr>
          <w:rFonts w:cs="Times New Roman"/>
          <w:sz w:val="24"/>
        </w:rPr>
      </w:pPr>
    </w:p>
    <w:p w14:paraId="0FEC5354" w14:textId="77777777" w:rsidR="00AD2F15" w:rsidRDefault="000133F8" w:rsidP="00AE0CEE">
      <w:pPr>
        <w:pStyle w:val="ListParagraph"/>
        <w:ind w:left="0"/>
        <w:jc w:val="both"/>
        <w:rPr>
          <w:rFonts w:cs="Times New Roman"/>
          <w:sz w:val="24"/>
        </w:rPr>
      </w:pPr>
      <w:r w:rsidRPr="000133F8">
        <w:rPr>
          <w:rFonts w:cs="Times New Roman"/>
          <w:sz w:val="24"/>
        </w:rPr>
        <w:t xml:space="preserve">Women with disabilities are more likely to experience domestic violence and other forms of gender-based and sexual violence as non-disabled women, are likely to experience abuse over a longer period of time, and often suffer more severe injuries as a result of the violence. National </w:t>
      </w:r>
      <w:r w:rsidRPr="000133F8">
        <w:rPr>
          <w:rFonts w:cs="Times New Roman"/>
          <w:sz w:val="24"/>
        </w:rPr>
        <w:lastRenderedPageBreak/>
        <w:t>“studies estimate that almost 80% of people with disabilities are sexually assaulted on more than one occasion and 50% of those experienced more than 10 victimizations</w:t>
      </w:r>
      <w:r w:rsidR="00034275">
        <w:rPr>
          <w:rFonts w:cs="Times New Roman"/>
          <w:sz w:val="24"/>
        </w:rPr>
        <w:t>,</w:t>
      </w:r>
      <w:r w:rsidRPr="000133F8">
        <w:rPr>
          <w:rFonts w:cs="Times New Roman"/>
          <w:sz w:val="24"/>
        </w:rPr>
        <w:t>”</w:t>
      </w:r>
      <w:r w:rsidRPr="000133F8">
        <w:rPr>
          <w:rFonts w:eastAsia="Times New Roman" w:cs="Times New Roman"/>
          <w:sz w:val="24"/>
          <w:vertAlign w:val="superscript"/>
        </w:rPr>
        <w:footnoteReference w:id="65"/>
      </w:r>
      <w:r w:rsidRPr="000133F8">
        <w:rPr>
          <w:rFonts w:cs="Times New Roman"/>
          <w:sz w:val="24"/>
        </w:rPr>
        <w:t xml:space="preserve"> and women with disabilities are raped and abused at least two to three times more than women without disabilities. As many as 83% of female adults with developmental disabilities are victims of sexual assault,</w:t>
      </w:r>
      <w:r w:rsidRPr="000133F8">
        <w:rPr>
          <w:rFonts w:eastAsia="Times New Roman" w:cs="Times New Roman"/>
          <w:sz w:val="24"/>
          <w:vertAlign w:val="superscript"/>
        </w:rPr>
        <w:footnoteReference w:id="66"/>
      </w:r>
      <w:r w:rsidRPr="000133F8">
        <w:rPr>
          <w:rFonts w:cs="Times New Roman"/>
          <w:sz w:val="24"/>
        </w:rPr>
        <w:t xml:space="preserve"> and women with disabilities living in institutions and nursing homes are particularly at risk.</w:t>
      </w:r>
      <w:r w:rsidRPr="000133F8">
        <w:rPr>
          <w:rFonts w:eastAsia="Times New Roman" w:cs="Times New Roman"/>
          <w:sz w:val="24"/>
          <w:vertAlign w:val="superscript"/>
        </w:rPr>
        <w:footnoteReference w:id="67"/>
      </w:r>
      <w:r w:rsidRPr="000133F8">
        <w:rPr>
          <w:rFonts w:cs="Times New Roman"/>
          <w:sz w:val="24"/>
        </w:rPr>
        <w:t xml:space="preserve"> Women with disabilities living in institutions and nursing homes report a “33% prevalence” of experiencing interpersonal violence, compared to 21% of women without disabilities in such institutions.</w:t>
      </w:r>
      <w:r w:rsidRPr="000133F8">
        <w:rPr>
          <w:rFonts w:eastAsia="Times New Roman" w:cs="Times New Roman"/>
          <w:sz w:val="24"/>
          <w:vertAlign w:val="superscript"/>
        </w:rPr>
        <w:footnoteReference w:id="68"/>
      </w:r>
      <w:r w:rsidRPr="000133F8">
        <w:rPr>
          <w:rFonts w:cs="Times New Roman"/>
          <w:sz w:val="24"/>
        </w:rPr>
        <w:t xml:space="preserve"> 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 </w:t>
      </w:r>
    </w:p>
    <w:p w14:paraId="784587FE" w14:textId="77777777" w:rsidR="000133F8" w:rsidRPr="000133F8" w:rsidRDefault="000133F8" w:rsidP="00AE0CEE">
      <w:pPr>
        <w:pStyle w:val="ListParagraph"/>
        <w:ind w:left="0"/>
        <w:jc w:val="both"/>
        <w:rPr>
          <w:rFonts w:cs="Times New Roman"/>
          <w:sz w:val="24"/>
        </w:rPr>
      </w:pPr>
    </w:p>
    <w:p w14:paraId="1E7F0A3F" w14:textId="77777777" w:rsidR="000133F8" w:rsidRPr="000133F8" w:rsidRDefault="000133F8" w:rsidP="00AE0CEE">
      <w:pPr>
        <w:pStyle w:val="ListParagraph"/>
        <w:numPr>
          <w:ilvl w:val="2"/>
          <w:numId w:val="5"/>
        </w:numPr>
        <w:pBdr>
          <w:top w:val="nil"/>
          <w:left w:val="nil"/>
          <w:bottom w:val="nil"/>
          <w:right w:val="nil"/>
          <w:between w:val="nil"/>
          <w:bar w:val="nil"/>
        </w:pBdr>
        <w:ind w:left="1800"/>
        <w:jc w:val="both"/>
        <w:rPr>
          <w:rFonts w:eastAsia="Times New Roman" w:cs="Times New Roman"/>
          <w:b/>
          <w:sz w:val="24"/>
        </w:rPr>
      </w:pPr>
      <w:r w:rsidRPr="000133F8">
        <w:rPr>
          <w:rFonts w:cs="Times New Roman"/>
          <w:b/>
          <w:sz w:val="24"/>
        </w:rPr>
        <w:t xml:space="preserve">Violence in </w:t>
      </w:r>
      <w:r>
        <w:rPr>
          <w:rFonts w:cs="Times New Roman"/>
          <w:b/>
          <w:sz w:val="24"/>
        </w:rPr>
        <w:t>S</w:t>
      </w:r>
      <w:r w:rsidRPr="000133F8">
        <w:rPr>
          <w:rFonts w:cs="Times New Roman"/>
          <w:b/>
          <w:sz w:val="24"/>
        </w:rPr>
        <w:t>chools</w:t>
      </w:r>
    </w:p>
    <w:p w14:paraId="0AB8C6D1" w14:textId="77777777" w:rsidR="000133F8" w:rsidRDefault="000133F8" w:rsidP="00AE0CEE">
      <w:pPr>
        <w:pStyle w:val="ListParagraph"/>
        <w:tabs>
          <w:tab w:val="left" w:pos="1440"/>
        </w:tabs>
        <w:ind w:left="0"/>
        <w:jc w:val="both"/>
        <w:rPr>
          <w:rFonts w:cs="Times New Roman"/>
          <w:sz w:val="24"/>
        </w:rPr>
      </w:pPr>
    </w:p>
    <w:p w14:paraId="6DAFEEAE" w14:textId="77777777" w:rsidR="000133F8" w:rsidRDefault="000133F8" w:rsidP="00AE0CEE">
      <w:pPr>
        <w:pStyle w:val="ListParagraph"/>
        <w:tabs>
          <w:tab w:val="left" w:pos="1440"/>
        </w:tabs>
        <w:ind w:left="0"/>
        <w:jc w:val="both"/>
        <w:rPr>
          <w:rFonts w:cs="Times New Roman"/>
          <w:sz w:val="24"/>
        </w:rPr>
      </w:pPr>
      <w:r w:rsidRPr="000133F8">
        <w:rPr>
          <w:rFonts w:cs="Times New Roman"/>
          <w:sz w:val="24"/>
        </w:rPr>
        <w:t>Girls with disabilities experience sexual harassment and sexual abuse in schools at an unacceptably high rate.</w:t>
      </w:r>
      <w:r w:rsidRPr="000133F8">
        <w:rPr>
          <w:rFonts w:eastAsia="Times New Roman" w:cs="Times New Roman"/>
          <w:sz w:val="24"/>
          <w:vertAlign w:val="superscript"/>
        </w:rPr>
        <w:footnoteReference w:id="69"/>
      </w:r>
      <w:r w:rsidRPr="000133F8">
        <w:rPr>
          <w:rFonts w:cs="Times New Roman"/>
          <w:sz w:val="24"/>
        </w:rPr>
        <w:t xml:space="preserve"> Over twice as many deaf female undergraduates experienced an incident of sexual coercion from their partner compared to hearing female undergraduates (61% compared to 28%).</w:t>
      </w:r>
      <w:r w:rsidRPr="000133F8">
        <w:rPr>
          <w:rFonts w:eastAsia="Times New Roman" w:cs="Times New Roman"/>
          <w:sz w:val="24"/>
          <w:vertAlign w:val="superscript"/>
        </w:rPr>
        <w:footnoteReference w:id="70"/>
      </w:r>
      <w:r w:rsidRPr="000133F8">
        <w:rPr>
          <w:rFonts w:cs="Times New Roman"/>
          <w:sz w:val="24"/>
        </w:rPr>
        <w:t xml:space="preserve"> Disabled girls often are also subjected to bullying and teasing by peers in school based on disability and gender.</w:t>
      </w:r>
      <w:r w:rsidRPr="000133F8">
        <w:rPr>
          <w:rFonts w:eastAsia="Times New Roman" w:cs="Times New Roman"/>
          <w:sz w:val="24"/>
          <w:vertAlign w:val="superscript"/>
        </w:rPr>
        <w:footnoteReference w:id="71"/>
      </w:r>
      <w:r w:rsidRPr="000133F8">
        <w:rPr>
          <w:rFonts w:cs="Times New Roman"/>
          <w:sz w:val="24"/>
        </w:rPr>
        <w:t xml:space="preserve"> Such bullying can negatively impact a girl’s emotional and cognitive development and can also cause low self-esteem.</w:t>
      </w:r>
      <w:r w:rsidRPr="000133F8">
        <w:rPr>
          <w:rFonts w:eastAsia="Times New Roman" w:cs="Times New Roman"/>
          <w:sz w:val="24"/>
          <w:vertAlign w:val="superscript"/>
        </w:rPr>
        <w:footnoteReference w:id="72"/>
      </w:r>
      <w:r w:rsidRPr="000133F8">
        <w:rPr>
          <w:rFonts w:cs="Times New Roman"/>
          <w:sz w:val="24"/>
        </w:rPr>
        <w:t xml:space="preserve"> This harassment and abuse is compounded by lack of sexual education afforded to girls with disabilities.</w:t>
      </w:r>
      <w:r w:rsidRPr="000133F8">
        <w:rPr>
          <w:rFonts w:eastAsia="Times New Roman" w:cs="Times New Roman"/>
          <w:sz w:val="24"/>
          <w:vertAlign w:val="superscript"/>
        </w:rPr>
        <w:footnoteReference w:id="73"/>
      </w:r>
    </w:p>
    <w:p w14:paraId="1164703E" w14:textId="77777777" w:rsidR="000133F8" w:rsidRPr="000133F8" w:rsidRDefault="000133F8" w:rsidP="00AE0CEE">
      <w:pPr>
        <w:pStyle w:val="ListParagraph"/>
        <w:tabs>
          <w:tab w:val="left" w:pos="1440"/>
        </w:tabs>
        <w:ind w:left="0"/>
        <w:jc w:val="both"/>
        <w:rPr>
          <w:rFonts w:eastAsia="Times New Roman" w:cs="Times New Roman"/>
          <w:sz w:val="24"/>
          <w:u w:val="single"/>
        </w:rPr>
      </w:pPr>
    </w:p>
    <w:p w14:paraId="5532A4B5" w14:textId="77777777" w:rsidR="00AE0CEE" w:rsidRDefault="000133F8" w:rsidP="00AE0CEE">
      <w:pPr>
        <w:pStyle w:val="ListParagraph"/>
        <w:widowControl w:val="0"/>
        <w:numPr>
          <w:ilvl w:val="2"/>
          <w:numId w:val="5"/>
        </w:numPr>
        <w:pBdr>
          <w:top w:val="nil"/>
          <w:left w:val="nil"/>
          <w:bottom w:val="nil"/>
          <w:right w:val="nil"/>
          <w:between w:val="nil"/>
          <w:bar w:val="nil"/>
        </w:pBdr>
        <w:ind w:left="1800"/>
        <w:jc w:val="both"/>
        <w:rPr>
          <w:rFonts w:eastAsia="Times New Roman" w:cs="Times New Roman"/>
          <w:b/>
          <w:sz w:val="24"/>
        </w:rPr>
      </w:pPr>
      <w:r w:rsidRPr="000133F8">
        <w:rPr>
          <w:rFonts w:cs="Times New Roman"/>
          <w:b/>
          <w:sz w:val="24"/>
        </w:rPr>
        <w:t>Violence in Prisons</w:t>
      </w:r>
    </w:p>
    <w:p w14:paraId="12E597B6" w14:textId="77777777" w:rsidR="000133F8" w:rsidRPr="00AE0CEE" w:rsidRDefault="000133F8" w:rsidP="00AE0CEE">
      <w:pPr>
        <w:widowControl w:val="0"/>
        <w:pBdr>
          <w:top w:val="nil"/>
          <w:left w:val="nil"/>
          <w:bottom w:val="nil"/>
          <w:right w:val="nil"/>
          <w:between w:val="nil"/>
          <w:bar w:val="nil"/>
        </w:pBdr>
        <w:jc w:val="both"/>
        <w:rPr>
          <w:rFonts w:eastAsia="Times New Roman" w:cs="Times New Roman"/>
          <w:b/>
          <w:sz w:val="24"/>
        </w:rPr>
      </w:pPr>
      <w:r w:rsidRPr="00AE0CEE">
        <w:rPr>
          <w:rFonts w:cs="Times New Roman"/>
          <w:sz w:val="24"/>
        </w:rPr>
        <w:t>Female prisoners with disabilities are at a particularly high risk of violence.</w:t>
      </w:r>
      <w:r w:rsidRPr="000133F8">
        <w:rPr>
          <w:rFonts w:eastAsia="Times New Roman"/>
          <w:vertAlign w:val="superscript"/>
        </w:rPr>
        <w:footnoteReference w:id="74"/>
      </w:r>
      <w:r w:rsidRPr="00AE0CEE">
        <w:rPr>
          <w:rFonts w:cs="Times New Roman"/>
          <w:sz w:val="24"/>
        </w:rPr>
        <w:t xml:space="preserve"> They may be actively targeted by both guards and other inmates based on their disability, or their needs for accommodations may be neglected.</w:t>
      </w:r>
      <w:r w:rsidRPr="000133F8">
        <w:rPr>
          <w:rFonts w:eastAsia="Times New Roman"/>
          <w:vertAlign w:val="superscript"/>
        </w:rPr>
        <w:footnoteReference w:id="75"/>
      </w:r>
      <w:r w:rsidRPr="00AE0CEE">
        <w:rPr>
          <w:rFonts w:cs="Times New Roman"/>
          <w:sz w:val="24"/>
        </w:rPr>
        <w:t xml:space="preserve"> Once incarcerated, violence and </w:t>
      </w:r>
      <w:bookmarkStart w:id="0" w:name="_GoBack"/>
      <w:r w:rsidRPr="00AE0CEE">
        <w:rPr>
          <w:rFonts w:cs="Times New Roman"/>
          <w:sz w:val="24"/>
        </w:rPr>
        <w:t>poor</w:t>
      </w:r>
      <w:bookmarkEnd w:id="0"/>
      <w:r w:rsidRPr="00AE0CEE">
        <w:rPr>
          <w:rFonts w:cs="Times New Roman"/>
          <w:sz w:val="24"/>
        </w:rPr>
        <w:t xml:space="preserve"> conditions in prison leads many to develop a disability, and those who already are disabled are likely to develop an aggravated disability.</w:t>
      </w:r>
      <w:r w:rsidRPr="000133F8">
        <w:rPr>
          <w:rFonts w:eastAsia="Times New Roman"/>
          <w:vertAlign w:val="superscript"/>
        </w:rPr>
        <w:footnoteReference w:id="76"/>
      </w:r>
      <w:r w:rsidRPr="00AE0CEE">
        <w:rPr>
          <w:rFonts w:cs="Times New Roman"/>
          <w:sz w:val="24"/>
        </w:rPr>
        <w:t xml:space="preserve"> </w:t>
      </w:r>
      <w:r w:rsidR="00847274" w:rsidRPr="00AE0CEE">
        <w:rPr>
          <w:rFonts w:cs="Times New Roman"/>
          <w:sz w:val="24"/>
        </w:rPr>
        <w:t>PREA</w:t>
      </w:r>
      <w:r w:rsidRPr="00AE0CEE">
        <w:rPr>
          <w:rFonts w:cs="Times New Roman"/>
          <w:sz w:val="24"/>
        </w:rPr>
        <w:t xml:space="preserve"> recognizes that jails house more persons with psycho-social </w:t>
      </w:r>
      <w:r w:rsidRPr="00AE0CEE">
        <w:rPr>
          <w:rFonts w:cs="Times New Roman"/>
          <w:sz w:val="24"/>
        </w:rPr>
        <w:lastRenderedPageBreak/>
        <w:t>disabilities than all of the country’s psychiatric hospitals combined.</w:t>
      </w:r>
      <w:r w:rsidRPr="000133F8">
        <w:rPr>
          <w:rFonts w:eastAsia="Times New Roman"/>
          <w:vertAlign w:val="superscript"/>
        </w:rPr>
        <w:footnoteReference w:id="77"/>
      </w:r>
      <w:r w:rsidRPr="00AE0CEE">
        <w:rPr>
          <w:rFonts w:cs="Times New Roman"/>
          <w:sz w:val="24"/>
        </w:rPr>
        <w:t xml:space="preserve"> The psychological trauma of rape that occurs in prison is compounded because the victim has very limited options to escape the perpetrator.</w:t>
      </w:r>
      <w:r w:rsidRPr="000133F8">
        <w:rPr>
          <w:rFonts w:eastAsia="Times New Roman"/>
          <w:vertAlign w:val="superscript"/>
        </w:rPr>
        <w:footnoteReference w:id="78"/>
      </w:r>
      <w:r w:rsidRPr="00AE0CEE">
        <w:rPr>
          <w:rFonts w:cs="Times New Roman"/>
          <w:sz w:val="24"/>
        </w:rPr>
        <w:t xml:space="preserve"> Additionally, people who are raped in prison may suffer humiliation or stigmatization from other inmates and prison staff because the assaults are often known throughout the prison. Those trying to cope with the psychological trauma of prison rape and sexual assault are often in facilities that do not offer rape counseling or mental health treatment.</w:t>
      </w:r>
      <w:r w:rsidRPr="000133F8">
        <w:rPr>
          <w:rFonts w:eastAsia="Times New Roman"/>
          <w:vertAlign w:val="superscript"/>
        </w:rPr>
        <w:footnoteReference w:id="79"/>
      </w:r>
      <w:r w:rsidRPr="00AE0CEE">
        <w:rPr>
          <w:rFonts w:cs="Times New Roman"/>
          <w:sz w:val="24"/>
        </w:rPr>
        <w:t xml:space="preserve"> The lack of required data collection limits the ability of the U.S. government to address the high incidence of rape and sexual assault of women with disabilities in prisons.</w:t>
      </w:r>
    </w:p>
    <w:p w14:paraId="0CF9E06F" w14:textId="77777777" w:rsidR="000133F8" w:rsidRPr="00AE0CEE" w:rsidRDefault="000133F8" w:rsidP="00AE0CEE">
      <w:pPr>
        <w:pStyle w:val="BodyA"/>
        <w:numPr>
          <w:ilvl w:val="2"/>
          <w:numId w:val="5"/>
        </w:numPr>
        <w:tabs>
          <w:tab w:val="left" w:pos="1770"/>
          <w:tab w:val="left" w:pos="1800"/>
        </w:tabs>
        <w:spacing w:after="200"/>
        <w:ind w:left="1800"/>
        <w:jc w:val="both"/>
        <w:rPr>
          <w:rFonts w:ascii="Times New Roman" w:eastAsia="Times New Roman" w:hAnsi="Times New Roman" w:cs="Times New Roman"/>
          <w:b/>
          <w:sz w:val="24"/>
          <w:szCs w:val="24"/>
        </w:rPr>
      </w:pPr>
      <w:r w:rsidRPr="00E50425">
        <w:rPr>
          <w:rFonts w:ascii="Times New Roman" w:hAnsi="Times New Roman" w:cs="Times New Roman"/>
          <w:b/>
          <w:sz w:val="24"/>
          <w:szCs w:val="24"/>
        </w:rPr>
        <w:t xml:space="preserve">Violence by Forced, </w:t>
      </w:r>
      <w:r w:rsidR="00E26341">
        <w:rPr>
          <w:rFonts w:ascii="Times New Roman" w:hAnsi="Times New Roman" w:cs="Times New Roman"/>
          <w:b/>
          <w:sz w:val="24"/>
          <w:szCs w:val="24"/>
        </w:rPr>
        <w:t>N</w:t>
      </w:r>
      <w:r w:rsidRPr="00E50425">
        <w:rPr>
          <w:rFonts w:ascii="Times New Roman" w:hAnsi="Times New Roman" w:cs="Times New Roman"/>
          <w:b/>
          <w:sz w:val="24"/>
          <w:szCs w:val="24"/>
        </w:rPr>
        <w:t>on</w:t>
      </w:r>
      <w:r w:rsidR="00E26341">
        <w:rPr>
          <w:rFonts w:ascii="Times New Roman" w:hAnsi="Times New Roman" w:cs="Times New Roman"/>
          <w:b/>
          <w:sz w:val="24"/>
          <w:szCs w:val="24"/>
        </w:rPr>
        <w:t>-</w:t>
      </w:r>
      <w:r w:rsidRPr="00E50425">
        <w:rPr>
          <w:rFonts w:ascii="Times New Roman" w:hAnsi="Times New Roman" w:cs="Times New Roman"/>
          <w:b/>
          <w:sz w:val="24"/>
          <w:szCs w:val="24"/>
        </w:rPr>
        <w:t>Consensual Sterilization</w:t>
      </w:r>
    </w:p>
    <w:p w14:paraId="6923C874" w14:textId="77777777" w:rsidR="000133F8" w:rsidRPr="000133F8" w:rsidRDefault="000133F8" w:rsidP="00AE0CEE">
      <w:pPr>
        <w:pStyle w:val="ListParagraph"/>
        <w:widowControl w:val="0"/>
        <w:tabs>
          <w:tab w:val="left" w:pos="360"/>
        </w:tabs>
        <w:ind w:left="0"/>
        <w:jc w:val="both"/>
        <w:rPr>
          <w:rFonts w:eastAsia="Times New Roman" w:cs="Times New Roman"/>
          <w:sz w:val="24"/>
        </w:rPr>
      </w:pPr>
      <w:r w:rsidRPr="000133F8">
        <w:rPr>
          <w:rFonts w:cs="Times New Roman"/>
          <w:sz w:val="24"/>
        </w:rPr>
        <w:t>Women and girls with disabilities face coercion from healthcare providers regarding their reproductive decision-making. Women with disabilities are more likely to have hysterectomies at a younger age and for a non-medically necessary reason, including by request of a parent or guardian.</w:t>
      </w:r>
      <w:r w:rsidRPr="000133F8">
        <w:rPr>
          <w:rFonts w:eastAsia="Times New Roman" w:cs="Times New Roman"/>
          <w:sz w:val="24"/>
          <w:vertAlign w:val="superscript"/>
        </w:rPr>
        <w:footnoteReference w:id="80"/>
      </w:r>
      <w:r w:rsidRPr="000133F8">
        <w:rPr>
          <w:rFonts w:cs="Times New Roman"/>
          <w:sz w:val="24"/>
        </w:rPr>
        <w:t xml:space="preserve"> These issues rose to public attention in 2007 when the parents of a nine-year-old girl with developmental disabilities gave their consent to have her undergo a surgical procedure to stunt her growth and remove her reproductive organs prior to reaching puberty.</w:t>
      </w:r>
      <w:r w:rsidRPr="000133F8">
        <w:rPr>
          <w:rFonts w:eastAsia="Times New Roman" w:cs="Times New Roman"/>
          <w:sz w:val="24"/>
          <w:vertAlign w:val="superscript"/>
        </w:rPr>
        <w:footnoteReference w:id="81"/>
      </w:r>
      <w:r w:rsidRPr="000133F8">
        <w:rPr>
          <w:rFonts w:cs="Times New Roman"/>
          <w:sz w:val="24"/>
        </w:rPr>
        <w:t xml:space="preserve"> Since 2012, there have been 12 confirmed cases and over 100 suspected cases of families subjecting their disabled children to similar treatment.</w:t>
      </w:r>
      <w:r w:rsidRPr="000133F8">
        <w:rPr>
          <w:rFonts w:eastAsia="Times New Roman" w:cs="Times New Roman"/>
          <w:sz w:val="24"/>
          <w:vertAlign w:val="superscript"/>
        </w:rPr>
        <w:footnoteReference w:id="82"/>
      </w:r>
      <w:r w:rsidRPr="000133F8">
        <w:rPr>
          <w:rFonts w:cs="Times New Roman"/>
          <w:sz w:val="24"/>
        </w:rPr>
        <w:t xml:space="preserve"> Women with disabilities also frequently encounter pressure from doctors, guardians, social service workers, parents and society to abort a pregnancy because of a misperception of the possibility of passing on disabilities to their children—even if the disability is not genetic.</w:t>
      </w:r>
      <w:r w:rsidRPr="000133F8">
        <w:rPr>
          <w:rFonts w:eastAsia="Times New Roman" w:cs="Times New Roman"/>
          <w:sz w:val="24"/>
          <w:vertAlign w:val="superscript"/>
        </w:rPr>
        <w:footnoteReference w:id="83"/>
      </w:r>
      <w:r w:rsidRPr="000133F8">
        <w:rPr>
          <w:rFonts w:cs="Times New Roman"/>
          <w:sz w:val="24"/>
        </w:rPr>
        <w:t xml:space="preserve"> </w:t>
      </w:r>
    </w:p>
    <w:p w14:paraId="1CCE0AF2" w14:textId="77777777" w:rsidR="000133F8" w:rsidRPr="000133F8" w:rsidRDefault="000133F8" w:rsidP="00AE0CEE">
      <w:pPr>
        <w:pStyle w:val="ListParagraph"/>
        <w:widowControl w:val="0"/>
        <w:tabs>
          <w:tab w:val="left" w:pos="360"/>
        </w:tabs>
        <w:ind w:left="0"/>
        <w:jc w:val="both"/>
        <w:rPr>
          <w:rFonts w:eastAsia="Times New Roman" w:cs="Times New Roman"/>
          <w:sz w:val="24"/>
        </w:rPr>
      </w:pPr>
    </w:p>
    <w:p w14:paraId="2786A29C" w14:textId="57D924B5" w:rsidR="000133F8" w:rsidRDefault="000133F8" w:rsidP="00AE0CEE">
      <w:pPr>
        <w:pStyle w:val="ListParagraph"/>
        <w:widowControl w:val="0"/>
        <w:tabs>
          <w:tab w:val="left" w:pos="360"/>
        </w:tabs>
        <w:ind w:left="0"/>
        <w:jc w:val="both"/>
        <w:rPr>
          <w:rFonts w:cs="Times New Roman"/>
          <w:sz w:val="24"/>
        </w:rPr>
      </w:pPr>
      <w:r w:rsidRPr="000133F8">
        <w:rPr>
          <w:rFonts w:cs="Times New Roman"/>
          <w:sz w:val="24"/>
        </w:rPr>
        <w:t xml:space="preserve">Stereotypes regarding the danger of procreation by women with disabilities are enshrined in state law in the United States. </w:t>
      </w:r>
      <w:r w:rsidR="00C8489C">
        <w:rPr>
          <w:rFonts w:cs="Times New Roman"/>
          <w:sz w:val="24"/>
        </w:rPr>
        <w:t>As mentioned above, e</w:t>
      </w:r>
      <w:r w:rsidRPr="000133F8">
        <w:rPr>
          <w:rFonts w:cs="Times New Roman"/>
          <w:sz w:val="24"/>
        </w:rPr>
        <w:t>leven states retain statutory language authorizing a court to order the involuntary sterilization of a person with a disability</w:t>
      </w:r>
      <w:r w:rsidR="00C8489C">
        <w:rPr>
          <w:rFonts w:cs="Times New Roman"/>
          <w:sz w:val="24"/>
        </w:rPr>
        <w:t>,</w:t>
      </w:r>
      <w:r w:rsidRPr="000133F8">
        <w:rPr>
          <w:rFonts w:eastAsia="Times New Roman" w:cs="Times New Roman"/>
          <w:sz w:val="24"/>
          <w:vertAlign w:val="superscript"/>
        </w:rPr>
        <w:footnoteReference w:id="84"/>
      </w:r>
      <w:r w:rsidRPr="000133F8">
        <w:rPr>
          <w:rFonts w:cs="Times New Roman"/>
          <w:sz w:val="24"/>
        </w:rPr>
        <w:t xml:space="preserve"> </w:t>
      </w:r>
      <w:r w:rsidR="00C8489C">
        <w:rPr>
          <w:rFonts w:cs="Times New Roman"/>
          <w:sz w:val="24"/>
        </w:rPr>
        <w:t xml:space="preserve">and judicial decisions </w:t>
      </w:r>
      <w:r w:rsidR="00C8489C">
        <w:rPr>
          <w:rFonts w:cs="Times New Roman"/>
          <w:sz w:val="24"/>
        </w:rPr>
        <w:lastRenderedPageBreak/>
        <w:t>addressing these issues are</w:t>
      </w:r>
      <w:r w:rsidRPr="000133F8">
        <w:rPr>
          <w:rFonts w:cs="Times New Roman"/>
          <w:sz w:val="24"/>
        </w:rPr>
        <w:t xml:space="preserve"> not always consistent with </w:t>
      </w:r>
      <w:r w:rsidR="00C8489C">
        <w:rPr>
          <w:rFonts w:cs="Times New Roman"/>
          <w:sz w:val="24"/>
        </w:rPr>
        <w:t>federal</w:t>
      </w:r>
      <w:r w:rsidRPr="000133F8">
        <w:rPr>
          <w:rFonts w:cs="Times New Roman"/>
          <w:sz w:val="24"/>
        </w:rPr>
        <w:t xml:space="preserve"> requirements </w:t>
      </w:r>
      <w:r w:rsidR="00C8489C">
        <w:rPr>
          <w:rFonts w:cs="Times New Roman"/>
          <w:sz w:val="24"/>
        </w:rPr>
        <w:t>under the ADA</w:t>
      </w:r>
      <w:r w:rsidRPr="000133F8">
        <w:rPr>
          <w:rFonts w:cs="Times New Roman"/>
          <w:sz w:val="24"/>
        </w:rPr>
        <w:t>.</w:t>
      </w:r>
      <w:r w:rsidRPr="000133F8">
        <w:rPr>
          <w:rFonts w:eastAsia="Times New Roman" w:cs="Times New Roman"/>
          <w:sz w:val="24"/>
          <w:vertAlign w:val="superscript"/>
        </w:rPr>
        <w:footnoteReference w:id="85"/>
      </w:r>
      <w:r w:rsidRPr="000133F8">
        <w:rPr>
          <w:rFonts w:cs="Times New Roman"/>
          <w:sz w:val="24"/>
        </w:rPr>
        <w:t xml:space="preserve"> Courts are divided on the legal capacity of women with disabilities to decide about their reproductive lives, particularly regarding the forced sterilization of young women and girls with disabilities, and there is no clear judicial standard that ensures reproductive decision-making resides with women themselves.</w:t>
      </w:r>
      <w:r w:rsidRPr="000133F8">
        <w:rPr>
          <w:rFonts w:eastAsia="Times New Roman" w:cs="Times New Roman"/>
          <w:sz w:val="24"/>
          <w:vertAlign w:val="superscript"/>
        </w:rPr>
        <w:footnoteReference w:id="86"/>
      </w:r>
      <w:r w:rsidRPr="000133F8">
        <w:rPr>
          <w:rFonts w:cs="Times New Roman"/>
          <w:sz w:val="24"/>
        </w:rPr>
        <w:t xml:space="preserve">  </w:t>
      </w:r>
      <w:r w:rsidR="00957274">
        <w:rPr>
          <w:rFonts w:cs="Times New Roman"/>
          <w:sz w:val="24"/>
        </w:rPr>
        <w:t>As recently as 2013, a state court granted a parent the authorization to subject a daughter with cognitive disabilities to a hysterectomy.</w:t>
      </w:r>
      <w:r w:rsidR="00957274">
        <w:rPr>
          <w:rStyle w:val="FootnoteReference"/>
          <w:rFonts w:cs="Times New Roman"/>
          <w:sz w:val="24"/>
        </w:rPr>
        <w:footnoteReference w:id="87"/>
      </w:r>
      <w:r w:rsidR="00957274">
        <w:rPr>
          <w:rFonts w:cs="Times New Roman"/>
          <w:sz w:val="24"/>
        </w:rPr>
        <w:t xml:space="preserve"> Annex I </w:t>
      </w:r>
      <w:r w:rsidR="0052290D" w:rsidRPr="0052290D">
        <w:rPr>
          <w:rFonts w:cs="Times New Roman"/>
          <w:sz w:val="24"/>
        </w:rPr>
        <w:t>(p. 18</w:t>
      </w:r>
      <w:r w:rsidR="00957274" w:rsidRPr="0052290D">
        <w:rPr>
          <w:rFonts w:cs="Times New Roman"/>
          <w:sz w:val="24"/>
        </w:rPr>
        <w:t>)</w:t>
      </w:r>
      <w:r w:rsidR="00B92747">
        <w:rPr>
          <w:rFonts w:cs="Times New Roman"/>
          <w:sz w:val="24"/>
        </w:rPr>
        <w:t xml:space="preserve"> </w:t>
      </w:r>
      <w:r w:rsidR="00957274">
        <w:rPr>
          <w:rFonts w:cs="Times New Roman"/>
          <w:sz w:val="24"/>
        </w:rPr>
        <w:t xml:space="preserve">provides an in-depth summary and analysis of judicial decisions on forced and nonconsensual sterilizations of women with disabilities. </w:t>
      </w:r>
    </w:p>
    <w:p w14:paraId="7318F317" w14:textId="77777777" w:rsidR="000133F8" w:rsidRPr="00957274" w:rsidRDefault="00957274" w:rsidP="00957274">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These court proceedings demonstrate the urgent need for social workers, </w:t>
      </w:r>
      <w:r w:rsidR="00B92747">
        <w:rPr>
          <w:rFonts w:ascii="Times New Roman" w:hAnsi="Times New Roman" w:cs="Times New Roman"/>
          <w:sz w:val="24"/>
          <w:szCs w:val="24"/>
        </w:rPr>
        <w:t xml:space="preserve">psychologists and psychiatrists, </w:t>
      </w:r>
      <w:r w:rsidR="007F188C">
        <w:rPr>
          <w:rFonts w:ascii="Times New Roman" w:hAnsi="Times New Roman" w:cs="Times New Roman"/>
          <w:sz w:val="24"/>
          <w:szCs w:val="24"/>
        </w:rPr>
        <w:t xml:space="preserve">and judges </w:t>
      </w:r>
      <w:r w:rsidRPr="000133F8">
        <w:rPr>
          <w:rFonts w:ascii="Times New Roman" w:hAnsi="Times New Roman" w:cs="Times New Roman"/>
          <w:sz w:val="24"/>
          <w:szCs w:val="24"/>
        </w:rPr>
        <w:t>to educate themselves on the rights of women and girls with disabilities in the context of sexuality, reproduction, parenthood and other related issues.  People in such positions of confidence</w:t>
      </w:r>
      <w:r w:rsidR="00B92747">
        <w:rPr>
          <w:rFonts w:ascii="Times New Roman" w:hAnsi="Times New Roman" w:cs="Times New Roman"/>
          <w:sz w:val="24"/>
          <w:szCs w:val="24"/>
        </w:rPr>
        <w:t xml:space="preserve"> and authority</w:t>
      </w:r>
      <w:r w:rsidRPr="000133F8">
        <w:rPr>
          <w:rFonts w:ascii="Times New Roman" w:hAnsi="Times New Roman" w:cs="Times New Roman"/>
          <w:sz w:val="24"/>
          <w:szCs w:val="24"/>
        </w:rPr>
        <w:t xml:space="preserve"> have an obligation to develop a comprehensive understanding of these i</w:t>
      </w:r>
      <w:r>
        <w:rPr>
          <w:rFonts w:ascii="Times New Roman" w:hAnsi="Times New Roman" w:cs="Times New Roman"/>
          <w:sz w:val="24"/>
          <w:szCs w:val="24"/>
        </w:rPr>
        <w:t>ssues.</w:t>
      </w:r>
    </w:p>
    <w:p w14:paraId="1F32B0F1" w14:textId="77777777" w:rsidR="000133F8" w:rsidRPr="000133F8" w:rsidRDefault="000133F8" w:rsidP="00AE0CEE">
      <w:pPr>
        <w:pStyle w:val="ListParagraph"/>
        <w:widowControl w:val="0"/>
        <w:tabs>
          <w:tab w:val="left" w:pos="360"/>
        </w:tabs>
        <w:ind w:left="0"/>
        <w:jc w:val="both"/>
        <w:rPr>
          <w:rFonts w:eastAsia="Times New Roman" w:cs="Times New Roman"/>
          <w:sz w:val="24"/>
        </w:rPr>
      </w:pPr>
      <w:r w:rsidRPr="000133F8">
        <w:rPr>
          <w:rFonts w:cs="Times New Roman"/>
          <w:sz w:val="24"/>
        </w:rPr>
        <w:t xml:space="preserve">Sterilization impacts not just the health and wellbeing of the individual but also </w:t>
      </w:r>
      <w:r w:rsidR="00957274">
        <w:rPr>
          <w:rFonts w:cs="Times New Roman"/>
          <w:sz w:val="24"/>
        </w:rPr>
        <w:t>the well</w:t>
      </w:r>
      <w:r w:rsidRPr="000133F8">
        <w:rPr>
          <w:rFonts w:cs="Times New Roman"/>
          <w:sz w:val="24"/>
        </w:rPr>
        <w:t>being of society as a whole. The right to procreate is “fundamental to the very existence and survival of the human race” and it is a basic liberty that is “forever deprived” if an individual is forced to be sterilized.</w:t>
      </w:r>
      <w:r w:rsidRPr="000133F8">
        <w:rPr>
          <w:rFonts w:eastAsia="Times New Roman" w:cs="Times New Roman"/>
          <w:sz w:val="24"/>
          <w:vertAlign w:val="superscript"/>
        </w:rPr>
        <w:footnoteReference w:id="88"/>
      </w:r>
      <w:r w:rsidRPr="000133F8">
        <w:rPr>
          <w:rFonts w:cs="Times New Roman"/>
          <w:sz w:val="24"/>
        </w:rPr>
        <w:t xml:space="preserve"> Further, sterilization surgically invades the integrity of an individual’s person and destroys “an important part of a person’s social and biological identity.”</w:t>
      </w:r>
      <w:r w:rsidRPr="000133F8">
        <w:rPr>
          <w:rFonts w:eastAsia="Times New Roman" w:cs="Times New Roman"/>
          <w:sz w:val="24"/>
          <w:vertAlign w:val="superscript"/>
        </w:rPr>
        <w:footnoteReference w:id="89"/>
      </w:r>
      <w:r w:rsidRPr="000133F8">
        <w:rPr>
          <w:rFonts w:cs="Times New Roman"/>
          <w:sz w:val="24"/>
        </w:rPr>
        <w:t xml:space="preserve"> </w:t>
      </w:r>
    </w:p>
    <w:p w14:paraId="76BAE37E" w14:textId="77777777" w:rsidR="000133F8" w:rsidRPr="000133F8" w:rsidRDefault="000133F8"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2009, the American College of Obstetricians and Gynecologists (AGOC) reaffirmed their ethics opinion on the sterilization of women, including women with disabilities.</w:t>
      </w:r>
      <w:r w:rsidRPr="000133F8">
        <w:rPr>
          <w:rFonts w:ascii="Times New Roman" w:eastAsia="Times New Roman" w:hAnsi="Times New Roman" w:cs="Times New Roman"/>
          <w:sz w:val="24"/>
          <w:szCs w:val="24"/>
          <w:vertAlign w:val="superscript"/>
        </w:rPr>
        <w:footnoteReference w:id="90"/>
      </w:r>
      <w:r w:rsidRPr="000133F8">
        <w:rPr>
          <w:rFonts w:ascii="Times New Roman" w:hAnsi="Times New Roman" w:cs="Times New Roman"/>
          <w:sz w:val="24"/>
          <w:szCs w:val="24"/>
        </w:rPr>
        <w:t xml:space="preserve"> The AGOC characterizes sterilization as an elective procedure with extensive and often permanent consequences. As such, physicians who are in a position to perform sterilizations should counsel patients without bias and to as full an extent as possible. Informed consent includes “comprehensive and individualized counseling on reversible alternatives to sterilization.”</w:t>
      </w:r>
      <w:r w:rsidRPr="000133F8">
        <w:rPr>
          <w:rFonts w:ascii="Times New Roman" w:eastAsia="Times New Roman" w:hAnsi="Times New Roman" w:cs="Times New Roman"/>
          <w:sz w:val="24"/>
          <w:szCs w:val="24"/>
          <w:vertAlign w:val="superscript"/>
        </w:rPr>
        <w:footnoteReference w:id="91"/>
      </w:r>
      <w:r w:rsidRPr="000133F8">
        <w:rPr>
          <w:rFonts w:ascii="Times New Roman" w:hAnsi="Times New Roman" w:cs="Times New Roman"/>
          <w:sz w:val="24"/>
          <w:szCs w:val="24"/>
        </w:rPr>
        <w:t xml:space="preserve"> For patients with </w:t>
      </w:r>
      <w:r w:rsidR="00957274">
        <w:rPr>
          <w:rFonts w:ascii="Times New Roman" w:hAnsi="Times New Roman" w:cs="Times New Roman"/>
          <w:sz w:val="24"/>
          <w:szCs w:val="24"/>
        </w:rPr>
        <w:t>developmental or cognitive disabilities</w:t>
      </w:r>
      <w:r w:rsidRPr="000133F8">
        <w:rPr>
          <w:rFonts w:ascii="Times New Roman" w:hAnsi="Times New Roman" w:cs="Times New Roman"/>
          <w:sz w:val="24"/>
          <w:szCs w:val="24"/>
        </w:rPr>
        <w:t>, it becomes even more vital that physicians thoroughly assess the capacity of patients to give their informed consent. When capacity is limited, the physician has a duty to “consult with the patient’s other caregivers in reaching a decision, which is based on the patient’s best interests and preserves her autonomy to the maximum extent possible.”</w:t>
      </w:r>
      <w:r w:rsidRPr="000133F8">
        <w:rPr>
          <w:rFonts w:ascii="Times New Roman" w:eastAsia="Times New Roman" w:hAnsi="Times New Roman" w:cs="Times New Roman"/>
          <w:sz w:val="24"/>
          <w:szCs w:val="24"/>
          <w:vertAlign w:val="superscript"/>
        </w:rPr>
        <w:footnoteReference w:id="92"/>
      </w:r>
      <w:r w:rsidRPr="000133F8">
        <w:rPr>
          <w:rFonts w:ascii="Times New Roman" w:hAnsi="Times New Roman" w:cs="Times New Roman"/>
          <w:sz w:val="24"/>
          <w:szCs w:val="24"/>
        </w:rPr>
        <w:t xml:space="preserve"> </w:t>
      </w:r>
      <w:r w:rsidRPr="000133F8">
        <w:rPr>
          <w:rFonts w:ascii="Times New Roman" w:hAnsi="Times New Roman" w:cs="Times New Roman"/>
          <w:sz w:val="24"/>
          <w:szCs w:val="24"/>
        </w:rPr>
        <w:tab/>
      </w:r>
    </w:p>
    <w:p w14:paraId="7AB63FB9" w14:textId="77777777" w:rsidR="00882D8D" w:rsidRPr="00CE661C" w:rsidRDefault="000133F8" w:rsidP="00CE661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lastRenderedPageBreak/>
        <w:t>In June 2011, the International Federation of Gynecology and Obstetrics (FIGO) released an updated set of ethical guidelines</w:t>
      </w:r>
      <w:r w:rsidR="00CE661C">
        <w:rPr>
          <w:rFonts w:ascii="Times New Roman" w:hAnsi="Times New Roman" w:cs="Times New Roman"/>
          <w:sz w:val="24"/>
          <w:szCs w:val="24"/>
        </w:rPr>
        <w:t xml:space="preserve"> on sterilization</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93"/>
      </w:r>
      <w:r w:rsidRPr="000133F8">
        <w:rPr>
          <w:rFonts w:ascii="Times New Roman" w:hAnsi="Times New Roman" w:cs="Times New Roman"/>
          <w:sz w:val="24"/>
          <w:szCs w:val="24"/>
        </w:rPr>
        <w:t xml:space="preserve"> These recommendations reflected the views of AGOC substantially yet different in certain specific areas. Recommendations highlighted the need for </w:t>
      </w:r>
      <w:r w:rsidR="00CE661C">
        <w:rPr>
          <w:rFonts w:ascii="Times New Roman" w:hAnsi="Times New Roman" w:cs="Times New Roman"/>
          <w:sz w:val="24"/>
          <w:szCs w:val="24"/>
        </w:rPr>
        <w:t>obtaining i</w:t>
      </w:r>
      <w:r w:rsidRPr="000133F8">
        <w:rPr>
          <w:rFonts w:ascii="Times New Roman" w:hAnsi="Times New Roman" w:cs="Times New Roman"/>
          <w:sz w:val="24"/>
          <w:szCs w:val="24"/>
        </w:rPr>
        <w:t xml:space="preserve">nformed consent before proceeding with sterilization, including </w:t>
      </w:r>
      <w:r w:rsidR="00CE661C">
        <w:rPr>
          <w:rFonts w:ascii="Times New Roman" w:hAnsi="Times New Roman" w:cs="Times New Roman"/>
          <w:sz w:val="24"/>
          <w:szCs w:val="24"/>
        </w:rPr>
        <w:t xml:space="preserve">requirements to provide </w:t>
      </w:r>
      <w:r w:rsidRPr="000133F8">
        <w:rPr>
          <w:rFonts w:ascii="Times New Roman" w:hAnsi="Times New Roman" w:cs="Times New Roman"/>
          <w:sz w:val="24"/>
          <w:szCs w:val="24"/>
        </w:rPr>
        <w:t>detailed information on non-permanent contraceptive options. The guidelines also highlighted that sterilization is not an emergency procedure and that consent to sterilization must not be conditioned on the receipt of any other form of medical care, including HIV/AIDS treatment and the medical termination of pregnancy.</w:t>
      </w:r>
      <w:r w:rsidRPr="000133F8">
        <w:rPr>
          <w:rFonts w:ascii="Times New Roman" w:eastAsia="Times New Roman" w:hAnsi="Times New Roman" w:cs="Times New Roman"/>
          <w:sz w:val="24"/>
          <w:szCs w:val="24"/>
          <w:vertAlign w:val="superscript"/>
        </w:rPr>
        <w:footnoteReference w:id="94"/>
      </w:r>
      <w:r w:rsidR="00CE661C">
        <w:rPr>
          <w:rFonts w:ascii="Times New Roman" w:hAnsi="Times New Roman" w:cs="Times New Roman"/>
          <w:sz w:val="24"/>
          <w:szCs w:val="24"/>
        </w:rPr>
        <w:t xml:space="preserve"> </w:t>
      </w:r>
      <w:r w:rsidRPr="00CE661C">
        <w:rPr>
          <w:rFonts w:ascii="Times New Roman" w:hAnsi="Times New Roman" w:cs="Times New Roman"/>
          <w:sz w:val="24"/>
        </w:rPr>
        <w:t>The report also focuses on the ethical boundaries of medical practitioners relating to the informed consent of their patients</w:t>
      </w:r>
      <w:r w:rsidR="00CE661C">
        <w:rPr>
          <w:rFonts w:ascii="Times New Roman" w:hAnsi="Times New Roman" w:cs="Times New Roman"/>
          <w:sz w:val="24"/>
        </w:rPr>
        <w:t>, noting that it is</w:t>
      </w:r>
      <w:r w:rsidRPr="00CE661C">
        <w:rPr>
          <w:rFonts w:ascii="Times New Roman" w:hAnsi="Times New Roman" w:cs="Times New Roman"/>
          <w:sz w:val="24"/>
        </w:rPr>
        <w:t xml:space="preserve"> unethical and a clear violation of a patient’s human rights to perform sterilization procedures on women who have not fully and freely requested such a procedure. The FIGO report closely examines the individual autonomy of patients and mandates that “family members, including husbands, parents, legal guardians, medical practitioners and, for instance, government or other public officers, cannot consent on any woman’s or girl’s behalf.”</w:t>
      </w:r>
      <w:r w:rsidRPr="00CE661C">
        <w:rPr>
          <w:rFonts w:ascii="Times New Roman" w:eastAsia="Times New Roman" w:hAnsi="Times New Roman" w:cs="Times New Roman"/>
          <w:sz w:val="24"/>
          <w:vertAlign w:val="superscript"/>
        </w:rPr>
        <w:footnoteReference w:id="95"/>
      </w:r>
      <w:r w:rsidR="00957274">
        <w:rPr>
          <w:rFonts w:cs="Times New Roman"/>
          <w:sz w:val="24"/>
        </w:rPr>
        <w:t xml:space="preserve"> </w:t>
      </w:r>
    </w:p>
    <w:p w14:paraId="3CB78C3A" w14:textId="77777777" w:rsidR="000B583A" w:rsidRPr="00CE661C" w:rsidRDefault="000B583A" w:rsidP="00CE661C">
      <w:pPr>
        <w:pStyle w:val="ListParagraph"/>
        <w:numPr>
          <w:ilvl w:val="1"/>
          <w:numId w:val="5"/>
        </w:numPr>
        <w:jc w:val="both"/>
        <w:rPr>
          <w:rFonts w:cs="Times New Roman"/>
          <w:b/>
          <w:sz w:val="24"/>
        </w:rPr>
      </w:pPr>
      <w:r w:rsidRPr="000133F8">
        <w:rPr>
          <w:rFonts w:cs="Times New Roman"/>
          <w:b/>
          <w:sz w:val="24"/>
        </w:rPr>
        <w:t>Access to Justice</w:t>
      </w:r>
    </w:p>
    <w:p w14:paraId="688B55D3" w14:textId="77777777" w:rsidR="004224E7" w:rsidRPr="00AE0CEE" w:rsidRDefault="004224E7" w:rsidP="00AE0CEE">
      <w:pPr>
        <w:pStyle w:val="BodyA"/>
        <w:numPr>
          <w:ilvl w:val="2"/>
          <w:numId w:val="5"/>
        </w:numPr>
        <w:spacing w:after="200"/>
        <w:ind w:left="1800"/>
        <w:rPr>
          <w:rFonts w:ascii="Times New Roman"/>
          <w:b/>
          <w:sz w:val="24"/>
          <w:szCs w:val="24"/>
        </w:rPr>
      </w:pPr>
      <w:r w:rsidRPr="004224E7">
        <w:rPr>
          <w:rFonts w:ascii="Times New Roman"/>
          <w:b/>
          <w:sz w:val="24"/>
          <w:szCs w:val="24"/>
        </w:rPr>
        <w:t>Physical Access</w:t>
      </w:r>
    </w:p>
    <w:p w14:paraId="446867CD"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Physical accessibility poses a significant barrier for individuals with disabilities in accessing courthouses. In the </w:t>
      </w:r>
      <w:r w:rsidR="00CE661C">
        <w:rPr>
          <w:rFonts w:ascii="Times New Roman"/>
          <w:sz w:val="24"/>
          <w:szCs w:val="24"/>
        </w:rPr>
        <w:t>U.S.</w:t>
      </w:r>
      <w:r>
        <w:rPr>
          <w:rFonts w:ascii="Times New Roman"/>
          <w:sz w:val="24"/>
          <w:szCs w:val="24"/>
        </w:rPr>
        <w:t>, the Guiding Prin</w:t>
      </w:r>
      <w:r w:rsidR="00CE661C">
        <w:rPr>
          <w:rFonts w:ascii="Times New Roman"/>
          <w:sz w:val="24"/>
          <w:szCs w:val="24"/>
        </w:rPr>
        <w:t>ciples for Federal Architecture were first promulgated in 1962</w:t>
      </w:r>
      <w:r>
        <w:rPr>
          <w:rFonts w:ascii="Times New Roman"/>
          <w:sz w:val="24"/>
          <w:szCs w:val="24"/>
        </w:rPr>
        <w:t xml:space="preserve"> and called for buildings to be </w:t>
      </w:r>
      <w:r>
        <w:rPr>
          <w:rFonts w:hAnsi="Times New Roman"/>
          <w:sz w:val="24"/>
          <w:szCs w:val="24"/>
        </w:rPr>
        <w:t>“</w:t>
      </w:r>
      <w:r>
        <w:rPr>
          <w:rFonts w:ascii="Times New Roman"/>
          <w:sz w:val="24"/>
          <w:szCs w:val="24"/>
        </w:rPr>
        <w:t>accessible to persons with disabilities.</w:t>
      </w:r>
      <w:r>
        <w:rPr>
          <w:rFonts w:hAnsi="Times New Roman"/>
          <w:sz w:val="24"/>
          <w:szCs w:val="24"/>
        </w:rPr>
        <w:t>”</w:t>
      </w:r>
      <w:r>
        <w:rPr>
          <w:rFonts w:hAnsi="Times New Roman"/>
          <w:sz w:val="24"/>
          <w:szCs w:val="24"/>
        </w:rPr>
        <w:t xml:space="preserve"> </w:t>
      </w:r>
      <w:r>
        <w:rPr>
          <w:rFonts w:ascii="Times New Roman"/>
          <w:sz w:val="24"/>
          <w:szCs w:val="24"/>
        </w:rPr>
        <w:t>However, there were no enforcement methods in place to ensure accessibility.</w:t>
      </w:r>
      <w:r>
        <w:rPr>
          <w:rFonts w:ascii="Times New Roman" w:eastAsia="Times New Roman" w:hAnsi="Times New Roman" w:cs="Times New Roman"/>
          <w:sz w:val="24"/>
          <w:szCs w:val="24"/>
          <w:vertAlign w:val="superscript"/>
        </w:rPr>
        <w:footnoteReference w:id="96"/>
      </w:r>
      <w:r>
        <w:rPr>
          <w:rFonts w:ascii="Times New Roman"/>
          <w:sz w:val="24"/>
          <w:szCs w:val="24"/>
        </w:rPr>
        <w:t xml:space="preserve"> Architectural and aesthetic aspirations to create grand courthouses made entrances difficult to negotiate. For example, processional entryways created by staircases effectively created a functional barrier for people who could not walk. The law was expanded in 1990 with the Americans with Disabilities Act (ADA), which ordered accessibility for both state and private facilities.</w:t>
      </w:r>
      <w:r>
        <w:rPr>
          <w:rFonts w:ascii="Times New Roman" w:eastAsia="Times New Roman" w:hAnsi="Times New Roman" w:cs="Times New Roman"/>
          <w:sz w:val="24"/>
          <w:szCs w:val="24"/>
          <w:vertAlign w:val="superscript"/>
        </w:rPr>
        <w:footnoteReference w:id="97"/>
      </w:r>
      <w:r>
        <w:rPr>
          <w:rFonts w:ascii="Times New Roman"/>
          <w:sz w:val="24"/>
          <w:szCs w:val="24"/>
        </w:rPr>
        <w:t xml:space="preserve">  Title II of the ADA states that </w:t>
      </w:r>
      <w:r>
        <w:rPr>
          <w:rFonts w:hAnsi="Times New Roman"/>
          <w:sz w:val="24"/>
          <w:szCs w:val="24"/>
        </w:rPr>
        <w:t>“</w:t>
      </w:r>
      <w:r>
        <w:rPr>
          <w:rFonts w:ascii="Times New Roman"/>
          <w:sz w:val="24"/>
          <w:szCs w:val="24"/>
        </w:rPr>
        <w:t>no qualified individual with a disability shall, by reason of such disability, be excluded from participation in or be denied the benefits of the services, programs, or activities of a public entity, or be subjected to discrimination by any such entity.</w:t>
      </w:r>
      <w:r>
        <w:rPr>
          <w:rFonts w:hAnsi="Times New Roman"/>
          <w:sz w:val="24"/>
          <w:szCs w:val="24"/>
        </w:rPr>
        <w:t>”</w:t>
      </w:r>
      <w:r>
        <w:rPr>
          <w:rFonts w:ascii="Times New Roman" w:eastAsia="Times New Roman" w:hAnsi="Times New Roman" w:cs="Times New Roman"/>
          <w:sz w:val="24"/>
          <w:szCs w:val="24"/>
          <w:vertAlign w:val="superscript"/>
        </w:rPr>
        <w:footnoteReference w:id="98"/>
      </w:r>
      <w:r>
        <w:rPr>
          <w:rFonts w:ascii="Times New Roman"/>
          <w:sz w:val="24"/>
          <w:szCs w:val="24"/>
        </w:rPr>
        <w:t xml:space="preserve"> However, compliance with the accessibility mandate continued to be problematic. For example, in the 1990s during public hearings about accessibility in California, approximately 60 percent of the speakers referred to issues created by physical barriers to courts and mobility problems for individuals who could not make it past the entrance.</w:t>
      </w:r>
      <w:r>
        <w:rPr>
          <w:rFonts w:ascii="Times New Roman" w:eastAsia="Times New Roman" w:hAnsi="Times New Roman" w:cs="Times New Roman"/>
          <w:sz w:val="24"/>
          <w:szCs w:val="24"/>
          <w:vertAlign w:val="superscript"/>
        </w:rPr>
        <w:footnoteReference w:id="99"/>
      </w:r>
      <w:r>
        <w:rPr>
          <w:rFonts w:ascii="Times New Roman"/>
          <w:sz w:val="24"/>
          <w:szCs w:val="24"/>
        </w:rPr>
        <w:t xml:space="preserve"> </w:t>
      </w:r>
    </w:p>
    <w:p w14:paraId="74630FBE"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In </w:t>
      </w:r>
      <w:r>
        <w:rPr>
          <w:rFonts w:ascii="Times New Roman"/>
          <w:i/>
          <w:iCs/>
          <w:sz w:val="24"/>
          <w:szCs w:val="24"/>
        </w:rPr>
        <w:t>Tennessee v. Lane</w:t>
      </w:r>
      <w:r>
        <w:rPr>
          <w:rFonts w:ascii="Times New Roman"/>
          <w:sz w:val="24"/>
          <w:szCs w:val="24"/>
        </w:rPr>
        <w:t>, the U.S. Supreme Court upheld a provision of the ADA allowing individuals to seek monetary damages from states for a failure to comply with the federal laws governing access to courts for people with disabilities.</w:t>
      </w:r>
      <w:r>
        <w:rPr>
          <w:rFonts w:ascii="Times New Roman" w:eastAsia="Times New Roman" w:hAnsi="Times New Roman" w:cs="Times New Roman"/>
          <w:sz w:val="24"/>
          <w:szCs w:val="24"/>
          <w:vertAlign w:val="superscript"/>
        </w:rPr>
        <w:footnoteReference w:id="100"/>
      </w:r>
      <w:r>
        <w:rPr>
          <w:rFonts w:ascii="Times New Roman"/>
          <w:sz w:val="24"/>
          <w:szCs w:val="24"/>
        </w:rPr>
        <w:t xml:space="preserve"> The Plaintiff, George Lane, used a </w:t>
      </w:r>
      <w:r>
        <w:rPr>
          <w:rFonts w:ascii="Times New Roman"/>
          <w:sz w:val="24"/>
          <w:szCs w:val="24"/>
        </w:rPr>
        <w:lastRenderedPageBreak/>
        <w:t xml:space="preserve">wheelchair as a result of paraplegia. He had </w:t>
      </w:r>
      <w:r>
        <w:rPr>
          <w:rFonts w:hAnsi="Times New Roman"/>
          <w:sz w:val="24"/>
          <w:szCs w:val="24"/>
        </w:rPr>
        <w:t>“</w:t>
      </w:r>
      <w:r>
        <w:rPr>
          <w:rFonts w:ascii="Times New Roman"/>
          <w:sz w:val="24"/>
          <w:szCs w:val="24"/>
        </w:rPr>
        <w:t>crawled up two flights of stairs to get to the courtroom</w:t>
      </w:r>
      <w:r>
        <w:rPr>
          <w:rFonts w:hAnsi="Times New Roman"/>
          <w:sz w:val="24"/>
          <w:szCs w:val="24"/>
        </w:rPr>
        <w:t>”</w:t>
      </w:r>
      <w:r>
        <w:rPr>
          <w:rFonts w:hAnsi="Times New Roman"/>
          <w:sz w:val="24"/>
          <w:szCs w:val="24"/>
        </w:rPr>
        <w:t xml:space="preserve"> </w:t>
      </w:r>
      <w:r>
        <w:rPr>
          <w:rFonts w:ascii="Times New Roman"/>
          <w:sz w:val="24"/>
          <w:szCs w:val="24"/>
        </w:rPr>
        <w:t>(the courthouse had no elevator access to the upper floors of the courthouse) in Tennessee for a criminal trial in which he was the defendant.</w:t>
      </w:r>
      <w:r>
        <w:rPr>
          <w:rFonts w:ascii="Times New Roman" w:eastAsia="Times New Roman" w:hAnsi="Times New Roman" w:cs="Times New Roman"/>
          <w:sz w:val="24"/>
          <w:szCs w:val="24"/>
          <w:vertAlign w:val="superscript"/>
        </w:rPr>
        <w:footnoteReference w:id="101"/>
      </w:r>
      <w:r>
        <w:rPr>
          <w:rFonts w:ascii="Times New Roman"/>
          <w:sz w:val="24"/>
          <w:szCs w:val="24"/>
        </w:rPr>
        <w:t xml:space="preserve">  The U.S. Supreme Court held that the states were not immune from damage actions, explaining that </w:t>
      </w:r>
      <w:r>
        <w:rPr>
          <w:rFonts w:hAnsi="Times New Roman"/>
          <w:sz w:val="24"/>
          <w:szCs w:val="24"/>
        </w:rPr>
        <w:t>“</w:t>
      </w:r>
      <w:r>
        <w:rPr>
          <w:rFonts w:ascii="Times New Roman"/>
          <w:sz w:val="24"/>
          <w:szCs w:val="24"/>
          <w:lang w:val="fr-FR"/>
        </w:rPr>
        <w:t>affirmative obligations</w:t>
      </w:r>
      <w:r>
        <w:rPr>
          <w:rFonts w:hAnsi="Times New Roman"/>
          <w:sz w:val="24"/>
          <w:szCs w:val="24"/>
        </w:rPr>
        <w:t>”</w:t>
      </w:r>
      <w:r>
        <w:rPr>
          <w:rFonts w:hAnsi="Times New Roman"/>
          <w:sz w:val="24"/>
          <w:szCs w:val="24"/>
        </w:rPr>
        <w:t xml:space="preserve"> </w:t>
      </w:r>
      <w:r>
        <w:rPr>
          <w:rFonts w:ascii="Times New Roman"/>
          <w:sz w:val="24"/>
          <w:szCs w:val="24"/>
        </w:rPr>
        <w:t>stemmed from the fact that access to courts was a fundamental constitutional value.</w:t>
      </w:r>
      <w:r>
        <w:rPr>
          <w:rFonts w:ascii="Times New Roman" w:eastAsia="Times New Roman" w:hAnsi="Times New Roman" w:cs="Times New Roman"/>
          <w:sz w:val="24"/>
          <w:szCs w:val="24"/>
          <w:vertAlign w:val="superscript"/>
        </w:rPr>
        <w:footnoteReference w:id="102"/>
      </w:r>
      <w:r>
        <w:rPr>
          <w:rFonts w:ascii="Times New Roman"/>
          <w:sz w:val="24"/>
          <w:szCs w:val="24"/>
        </w:rPr>
        <w:t xml:space="preserve">  In describing accessibility issues, the Court </w:t>
      </w:r>
      <w:r>
        <w:rPr>
          <w:rFonts w:hAnsi="Times New Roman"/>
          <w:sz w:val="24"/>
          <w:szCs w:val="24"/>
        </w:rPr>
        <w:t>“</w:t>
      </w:r>
      <w:r>
        <w:rPr>
          <w:rFonts w:ascii="Times New Roman"/>
          <w:sz w:val="24"/>
          <w:szCs w:val="24"/>
        </w:rPr>
        <w:t>[recognized] that failure to accommodate persons with disabilities will often have the same practical effect as outright exclusion.</w:t>
      </w:r>
      <w:r>
        <w:rPr>
          <w:rFonts w:hAnsi="Times New Roman"/>
          <w:sz w:val="24"/>
          <w:szCs w:val="24"/>
        </w:rPr>
        <w:t>”</w:t>
      </w:r>
      <w:r>
        <w:rPr>
          <w:rFonts w:ascii="Times New Roman" w:eastAsia="Times New Roman" w:hAnsi="Times New Roman" w:cs="Times New Roman"/>
          <w:sz w:val="24"/>
          <w:szCs w:val="24"/>
          <w:vertAlign w:val="superscript"/>
        </w:rPr>
        <w:footnoteReference w:id="103"/>
      </w:r>
      <w:r>
        <w:rPr>
          <w:rFonts w:ascii="Times New Roman"/>
          <w:sz w:val="24"/>
          <w:szCs w:val="24"/>
        </w:rPr>
        <w:t xml:space="preserve">  Additionally, the U.S. Supreme Court also held that included in states</w:t>
      </w:r>
      <w:r>
        <w:rPr>
          <w:rFonts w:hAnsi="Times New Roman"/>
          <w:sz w:val="24"/>
          <w:szCs w:val="24"/>
        </w:rPr>
        <w:t>’</w:t>
      </w:r>
      <w:r>
        <w:rPr>
          <w:rFonts w:hAnsi="Times New Roman"/>
          <w:sz w:val="24"/>
          <w:szCs w:val="24"/>
        </w:rPr>
        <w:t xml:space="preserve"> </w:t>
      </w:r>
      <w:r>
        <w:rPr>
          <w:rFonts w:ascii="Times New Roman"/>
          <w:sz w:val="24"/>
          <w:szCs w:val="24"/>
        </w:rPr>
        <w:t xml:space="preserve">duty to accommodate persons with disabilities, is the obligation to </w:t>
      </w:r>
      <w:r>
        <w:rPr>
          <w:rFonts w:hAnsi="Times New Roman"/>
          <w:sz w:val="24"/>
          <w:szCs w:val="24"/>
        </w:rPr>
        <w:t>“‘…</w:t>
      </w:r>
      <w:r>
        <w:rPr>
          <w:rFonts w:ascii="Times New Roman"/>
          <w:sz w:val="24"/>
          <w:szCs w:val="24"/>
        </w:rPr>
        <w:t>afford to all individuals a meaningful opportunity to be heard</w:t>
      </w:r>
      <w:r>
        <w:rPr>
          <w:rFonts w:hAnsi="Times New Roman"/>
          <w:sz w:val="24"/>
          <w:szCs w:val="24"/>
        </w:rPr>
        <w:t>’</w:t>
      </w:r>
      <w:r>
        <w:rPr>
          <w:rFonts w:hAnsi="Times New Roman"/>
          <w:sz w:val="24"/>
          <w:szCs w:val="24"/>
        </w:rPr>
        <w:t xml:space="preserve"> </w:t>
      </w:r>
      <w:r>
        <w:rPr>
          <w:rFonts w:ascii="Times New Roman"/>
          <w:sz w:val="24"/>
          <w:szCs w:val="24"/>
        </w:rPr>
        <w:t>in its courts.</w:t>
      </w:r>
      <w:r>
        <w:rPr>
          <w:rFonts w:hAnsi="Times New Roman"/>
          <w:sz w:val="24"/>
          <w:szCs w:val="24"/>
        </w:rPr>
        <w:t>”</w:t>
      </w:r>
      <w:r>
        <w:rPr>
          <w:rFonts w:ascii="Times New Roman" w:eastAsia="Times New Roman" w:hAnsi="Times New Roman" w:cs="Times New Roman"/>
          <w:sz w:val="24"/>
          <w:szCs w:val="24"/>
          <w:vertAlign w:val="superscript"/>
        </w:rPr>
        <w:footnoteReference w:id="104"/>
      </w:r>
      <w:r>
        <w:rPr>
          <w:rFonts w:ascii="Times New Roman"/>
          <w:sz w:val="24"/>
          <w:szCs w:val="24"/>
        </w:rPr>
        <w:t xml:space="preserve"> </w:t>
      </w:r>
    </w:p>
    <w:p w14:paraId="175FD7EC" w14:textId="77777777" w:rsidR="004224E7" w:rsidRDefault="00CE661C" w:rsidP="00AE0CEE">
      <w:pPr>
        <w:pStyle w:val="BodyA"/>
        <w:spacing w:after="200"/>
        <w:rPr>
          <w:rFonts w:ascii="Times New Roman" w:eastAsia="Times New Roman" w:hAnsi="Times New Roman" w:cs="Times New Roman"/>
          <w:sz w:val="24"/>
          <w:szCs w:val="24"/>
        </w:rPr>
      </w:pPr>
      <w:r>
        <w:rPr>
          <w:rFonts w:ascii="Times New Roman"/>
          <w:sz w:val="24"/>
          <w:szCs w:val="24"/>
        </w:rPr>
        <w:t>A</w:t>
      </w:r>
      <w:r w:rsidR="004224E7">
        <w:rPr>
          <w:rFonts w:ascii="Times New Roman"/>
          <w:sz w:val="24"/>
          <w:szCs w:val="24"/>
        </w:rPr>
        <w:t xml:space="preserve"> 2006 </w:t>
      </w:r>
      <w:r>
        <w:rPr>
          <w:rFonts w:ascii="Times New Roman"/>
          <w:sz w:val="24"/>
          <w:szCs w:val="24"/>
        </w:rPr>
        <w:t>report</w:t>
      </w:r>
      <w:r w:rsidR="004224E7">
        <w:rPr>
          <w:rFonts w:ascii="Times New Roman"/>
          <w:sz w:val="24"/>
          <w:szCs w:val="24"/>
        </w:rPr>
        <w:t xml:space="preserve"> illustrated how the design of courthouses </w:t>
      </w:r>
      <w:r>
        <w:rPr>
          <w:rFonts w:ascii="Times New Roman"/>
          <w:sz w:val="24"/>
          <w:szCs w:val="24"/>
        </w:rPr>
        <w:t>continues to impede</w:t>
      </w:r>
      <w:r w:rsidR="004224E7">
        <w:rPr>
          <w:rFonts w:ascii="Times New Roman"/>
          <w:sz w:val="24"/>
          <w:szCs w:val="24"/>
        </w:rPr>
        <w:t xml:space="preserve"> physical access to justice for people with disabilities.</w:t>
      </w:r>
      <w:r w:rsidR="004224E7">
        <w:rPr>
          <w:rFonts w:ascii="Times New Roman" w:eastAsia="Times New Roman" w:hAnsi="Times New Roman" w:cs="Times New Roman"/>
          <w:sz w:val="24"/>
          <w:szCs w:val="24"/>
          <w:vertAlign w:val="superscript"/>
        </w:rPr>
        <w:footnoteReference w:id="105"/>
      </w:r>
      <w:r w:rsidR="004224E7">
        <w:rPr>
          <w:rFonts w:ascii="Times New Roman"/>
          <w:sz w:val="24"/>
          <w:szCs w:val="24"/>
        </w:rPr>
        <w:t xml:space="preserve">  Specifically, the design of courthouses poses challenges to access due to unique features, such as inaccessible </w:t>
      </w:r>
      <w:r>
        <w:rPr>
          <w:rFonts w:ascii="Times New Roman"/>
          <w:sz w:val="24"/>
          <w:szCs w:val="24"/>
        </w:rPr>
        <w:t xml:space="preserve">witness chairs and jury boxes, </w:t>
      </w:r>
      <w:r w:rsidR="004224E7">
        <w:rPr>
          <w:rFonts w:ascii="Times New Roman"/>
          <w:sz w:val="24"/>
          <w:szCs w:val="24"/>
        </w:rPr>
        <w:t>courtroom areas that are elevated within confined spaces, failure to provide accessible signage and listening systems for persons with hearing disabilities, and many other common errors that challenge the physical access to the courthouse.</w:t>
      </w:r>
      <w:r w:rsidR="004224E7">
        <w:rPr>
          <w:rFonts w:ascii="Times New Roman" w:eastAsia="Times New Roman" w:hAnsi="Times New Roman" w:cs="Times New Roman"/>
          <w:sz w:val="24"/>
          <w:szCs w:val="24"/>
          <w:vertAlign w:val="superscript"/>
        </w:rPr>
        <w:footnoteReference w:id="106"/>
      </w:r>
      <w:r w:rsidR="004224E7">
        <w:rPr>
          <w:rFonts w:ascii="Times New Roman"/>
          <w:sz w:val="24"/>
          <w:szCs w:val="24"/>
        </w:rPr>
        <w:t xml:space="preserve"> </w:t>
      </w:r>
    </w:p>
    <w:p w14:paraId="52EB41CA" w14:textId="77777777" w:rsidR="004224E7" w:rsidRPr="00AE0CEE" w:rsidRDefault="004224E7" w:rsidP="00AE0CEE">
      <w:pPr>
        <w:pStyle w:val="BodyA"/>
        <w:numPr>
          <w:ilvl w:val="2"/>
          <w:numId w:val="5"/>
        </w:numPr>
        <w:spacing w:after="200"/>
        <w:ind w:left="1800"/>
        <w:rPr>
          <w:rFonts w:ascii="Times New Roman"/>
          <w:b/>
          <w:sz w:val="24"/>
          <w:szCs w:val="24"/>
        </w:rPr>
      </w:pPr>
      <w:r w:rsidRPr="004224E7">
        <w:rPr>
          <w:rFonts w:ascii="Times New Roman"/>
          <w:b/>
          <w:sz w:val="24"/>
          <w:szCs w:val="24"/>
        </w:rPr>
        <w:t xml:space="preserve">Competency to Testify </w:t>
      </w:r>
    </w:p>
    <w:p w14:paraId="2647C00C" w14:textId="77777777" w:rsidR="006A6DE4" w:rsidRDefault="004224E7" w:rsidP="00AE0CEE">
      <w:pPr>
        <w:pStyle w:val="BodyA"/>
        <w:spacing w:after="200"/>
        <w:rPr>
          <w:rFonts w:ascii="Times New Roman"/>
          <w:sz w:val="24"/>
          <w:szCs w:val="24"/>
        </w:rPr>
      </w:pPr>
      <w:r>
        <w:rPr>
          <w:rFonts w:ascii="Times New Roman"/>
          <w:sz w:val="24"/>
          <w:szCs w:val="24"/>
        </w:rPr>
        <w:t>The justice system often fails to see women and girls with disabilities as competent witnesses, either because of stereotypes and or difficulties in communication without accommodations. The mere fact that a woman has a disability or requires assistive communication or accommodations may result in the justice system viewing her as lacking credibility.</w:t>
      </w:r>
      <w:r>
        <w:rPr>
          <w:rFonts w:ascii="Times New Roman" w:eastAsia="Times New Roman" w:hAnsi="Times New Roman" w:cs="Times New Roman"/>
          <w:sz w:val="24"/>
          <w:szCs w:val="24"/>
          <w:vertAlign w:val="superscript"/>
        </w:rPr>
        <w:footnoteReference w:id="107"/>
      </w:r>
      <w:r>
        <w:rPr>
          <w:rFonts w:ascii="Times New Roman"/>
          <w:sz w:val="24"/>
          <w:szCs w:val="24"/>
        </w:rPr>
        <w:t xml:space="preserve">  However, the chances of a women or child with disability coming in contact with the justice system is greater than it is for individuals without disabilities.</w:t>
      </w:r>
      <w:r>
        <w:rPr>
          <w:rFonts w:ascii="Times New Roman" w:eastAsia="Times New Roman" w:hAnsi="Times New Roman" w:cs="Times New Roman"/>
          <w:sz w:val="24"/>
          <w:szCs w:val="24"/>
          <w:vertAlign w:val="superscript"/>
        </w:rPr>
        <w:footnoteReference w:id="108"/>
      </w:r>
      <w:r>
        <w:rPr>
          <w:rFonts w:ascii="Times New Roman"/>
          <w:sz w:val="24"/>
          <w:szCs w:val="24"/>
        </w:rPr>
        <w:t xml:space="preserve">  Women and girls with disabilities are more likely to come in contact with the justice system as victims, experiencing higher incidents of both physical and sexual abuse because they are viewed as more vulnerable targets.</w:t>
      </w:r>
      <w:r>
        <w:rPr>
          <w:rFonts w:ascii="Times New Roman" w:eastAsia="Times New Roman" w:hAnsi="Times New Roman" w:cs="Times New Roman"/>
          <w:sz w:val="24"/>
          <w:szCs w:val="24"/>
          <w:vertAlign w:val="superscript"/>
        </w:rPr>
        <w:footnoteReference w:id="109"/>
      </w:r>
      <w:r>
        <w:rPr>
          <w:rFonts w:ascii="Times New Roman"/>
          <w:sz w:val="24"/>
          <w:szCs w:val="24"/>
        </w:rPr>
        <w:t xml:space="preserve">  Furthermore, children with disabilities are targeted because assailants believe they either will not report the abuse or are incapable of reporting it because of their disability.</w:t>
      </w:r>
      <w:r>
        <w:rPr>
          <w:rFonts w:ascii="Times New Roman" w:eastAsia="Times New Roman" w:hAnsi="Times New Roman" w:cs="Times New Roman"/>
          <w:sz w:val="24"/>
          <w:szCs w:val="24"/>
          <w:vertAlign w:val="superscript"/>
        </w:rPr>
        <w:footnoteReference w:id="110"/>
      </w:r>
      <w:r>
        <w:rPr>
          <w:rFonts w:ascii="Times New Roman"/>
          <w:sz w:val="24"/>
          <w:szCs w:val="24"/>
        </w:rPr>
        <w:t xml:space="preserve">  Likewise, like women with disabilities, girls with disabilities have a higher risk of experiencing abuse than non-disabled girls.</w:t>
      </w:r>
      <w:r>
        <w:rPr>
          <w:rFonts w:ascii="Times New Roman" w:eastAsia="Times New Roman" w:hAnsi="Times New Roman" w:cs="Times New Roman"/>
          <w:sz w:val="24"/>
          <w:szCs w:val="24"/>
          <w:vertAlign w:val="superscript"/>
        </w:rPr>
        <w:footnoteReference w:id="111"/>
      </w:r>
      <w:r>
        <w:rPr>
          <w:rFonts w:ascii="Times New Roman"/>
          <w:sz w:val="24"/>
          <w:szCs w:val="24"/>
        </w:rPr>
        <w:t xml:space="preserve">  </w:t>
      </w:r>
    </w:p>
    <w:p w14:paraId="299F41C9"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lastRenderedPageBreak/>
        <w:t xml:space="preserve">Yet, paternalistic attitudes may cause the legal system to view </w:t>
      </w:r>
      <w:r w:rsidR="006A6DE4">
        <w:rPr>
          <w:rFonts w:ascii="Times New Roman"/>
          <w:sz w:val="24"/>
          <w:szCs w:val="24"/>
        </w:rPr>
        <w:t>women with disabilities</w:t>
      </w:r>
      <w:r>
        <w:rPr>
          <w:rFonts w:ascii="Times New Roman"/>
          <w:sz w:val="24"/>
          <w:szCs w:val="24"/>
        </w:rPr>
        <w:t xml:space="preserve"> as too fragile to withstand rigors of examination.</w:t>
      </w:r>
      <w:r>
        <w:rPr>
          <w:rFonts w:ascii="Times New Roman" w:eastAsia="Times New Roman" w:hAnsi="Times New Roman" w:cs="Times New Roman"/>
          <w:sz w:val="24"/>
          <w:szCs w:val="24"/>
          <w:vertAlign w:val="superscript"/>
        </w:rPr>
        <w:footnoteReference w:id="112"/>
      </w:r>
      <w:r>
        <w:rPr>
          <w:rFonts w:ascii="Times New Roman"/>
          <w:sz w:val="24"/>
          <w:szCs w:val="24"/>
        </w:rPr>
        <w:t xml:space="preserve">  Believing women or children with disabilities are unable to provide reliable information, police officers may be reluctant to pursue reports of sexual assault and violence.</w:t>
      </w:r>
      <w:r>
        <w:rPr>
          <w:rFonts w:ascii="Times New Roman" w:eastAsia="Times New Roman" w:hAnsi="Times New Roman" w:cs="Times New Roman"/>
          <w:sz w:val="24"/>
          <w:szCs w:val="24"/>
          <w:vertAlign w:val="superscript"/>
        </w:rPr>
        <w:footnoteReference w:id="113"/>
      </w:r>
      <w:r>
        <w:rPr>
          <w:rFonts w:ascii="Times New Roman"/>
          <w:sz w:val="24"/>
          <w:szCs w:val="24"/>
        </w:rPr>
        <w:t xml:space="preserve">  Judges may require more corroborating evidence than in other cases, and prior mental health treatment may be used to discredit testimony.  Exclusions of testimony are particularly problematic in gender-based violence and sexual assault cases, where the testimony of the parties and the credibility of the witnesses are exceptionally important, thereby placing women with disabilities at even greater risk, since perpetrators may be more likely to attack them because they know their complaints may be taken less seriously.</w:t>
      </w:r>
      <w:r>
        <w:rPr>
          <w:rFonts w:ascii="Times New Roman" w:eastAsia="Times New Roman" w:hAnsi="Times New Roman" w:cs="Times New Roman"/>
          <w:sz w:val="24"/>
          <w:szCs w:val="24"/>
          <w:vertAlign w:val="superscript"/>
        </w:rPr>
        <w:footnoteReference w:id="114"/>
      </w:r>
      <w:r>
        <w:rPr>
          <w:rFonts w:ascii="Times New Roman"/>
          <w:sz w:val="24"/>
          <w:szCs w:val="24"/>
        </w:rPr>
        <w:t xml:space="preserve">  If prior complaints were dismissed, they are less likely to report abuse in the future, perpetuating the violence.</w:t>
      </w:r>
      <w:r>
        <w:rPr>
          <w:rFonts w:ascii="Times New Roman" w:eastAsia="Times New Roman" w:hAnsi="Times New Roman" w:cs="Times New Roman"/>
          <w:sz w:val="24"/>
          <w:szCs w:val="24"/>
          <w:vertAlign w:val="superscript"/>
        </w:rPr>
        <w:footnoteReference w:id="115"/>
      </w:r>
      <w:r>
        <w:rPr>
          <w:rFonts w:ascii="Times New Roman"/>
          <w:sz w:val="24"/>
          <w:szCs w:val="24"/>
        </w:rPr>
        <w:t xml:space="preserve">  </w:t>
      </w:r>
    </w:p>
    <w:p w14:paraId="5DAB830D"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Once in the justice system, persons with disabilities oftentimes cannot meaningfully participate in the justice system because their access is further hampered by our intricate, complex, and stringent legal systems and procedures that fail to accommodate their disabilities.</w:t>
      </w:r>
      <w:r>
        <w:rPr>
          <w:rFonts w:ascii="Times New Roman" w:eastAsia="Times New Roman" w:hAnsi="Times New Roman" w:cs="Times New Roman"/>
          <w:sz w:val="24"/>
          <w:szCs w:val="24"/>
          <w:vertAlign w:val="superscript"/>
        </w:rPr>
        <w:footnoteReference w:id="116"/>
      </w:r>
      <w:r>
        <w:rPr>
          <w:rFonts w:ascii="Times New Roman"/>
          <w:sz w:val="24"/>
          <w:szCs w:val="24"/>
        </w:rPr>
        <w:t xml:space="preserve"> In each step of their contact with the justice system, </w:t>
      </w:r>
      <w:r w:rsidR="006A6DE4">
        <w:rPr>
          <w:rFonts w:ascii="Times New Roman"/>
          <w:sz w:val="24"/>
          <w:szCs w:val="24"/>
        </w:rPr>
        <w:t>women with disabilities</w:t>
      </w:r>
      <w:r>
        <w:rPr>
          <w:rFonts w:ascii="Times New Roman"/>
          <w:sz w:val="24"/>
          <w:szCs w:val="24"/>
        </w:rPr>
        <w:t xml:space="preserve"> are met with the negative attitudes and lack of understanding of police officers, prosecutors, lawyers, judges, and court systems.</w:t>
      </w:r>
      <w:r>
        <w:rPr>
          <w:rFonts w:ascii="Times New Roman" w:eastAsia="Times New Roman" w:hAnsi="Times New Roman" w:cs="Times New Roman"/>
          <w:sz w:val="24"/>
          <w:szCs w:val="24"/>
          <w:vertAlign w:val="superscript"/>
        </w:rPr>
        <w:footnoteReference w:id="117"/>
      </w:r>
      <w:r>
        <w:rPr>
          <w:rFonts w:ascii="Times New Roman"/>
          <w:sz w:val="24"/>
          <w:szCs w:val="24"/>
        </w:rPr>
        <w:t xml:space="preserve"> Without accommodations, women with disabilities do not experience equal treatment under the law or have equal rights under the law.</w:t>
      </w:r>
      <w:r>
        <w:rPr>
          <w:rFonts w:ascii="Times New Roman" w:eastAsia="Times New Roman" w:hAnsi="Times New Roman" w:cs="Times New Roman"/>
          <w:sz w:val="24"/>
          <w:szCs w:val="24"/>
          <w:vertAlign w:val="superscript"/>
        </w:rPr>
        <w:footnoteReference w:id="118"/>
      </w:r>
      <w:r>
        <w:rPr>
          <w:rFonts w:ascii="Times New Roman"/>
          <w:sz w:val="24"/>
          <w:szCs w:val="24"/>
        </w:rPr>
        <w:t xml:space="preserve"> </w:t>
      </w:r>
    </w:p>
    <w:p w14:paraId="17CF6B0F"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In the landmark case </w:t>
      </w:r>
      <w:r>
        <w:rPr>
          <w:rFonts w:ascii="Times New Roman"/>
          <w:i/>
          <w:iCs/>
          <w:sz w:val="24"/>
          <w:szCs w:val="24"/>
          <w:lang w:val="nl-NL"/>
        </w:rPr>
        <w:t>In re McDonogh</w:t>
      </w:r>
      <w:r>
        <w:rPr>
          <w:rFonts w:ascii="Times New Roman"/>
          <w:sz w:val="24"/>
          <w:szCs w:val="24"/>
        </w:rPr>
        <w:t xml:space="preserve">, the Supreme Judicial Court of Massachusetts for the first time ruled that </w:t>
      </w:r>
      <w:r>
        <w:rPr>
          <w:rFonts w:hAnsi="Times New Roman"/>
          <w:sz w:val="24"/>
          <w:szCs w:val="24"/>
        </w:rPr>
        <w:t>“…</w:t>
      </w:r>
      <w:r>
        <w:rPr>
          <w:rFonts w:ascii="Times New Roman"/>
          <w:color w:val="252525"/>
          <w:sz w:val="24"/>
          <w:szCs w:val="24"/>
          <w:u w:color="252525"/>
        </w:rPr>
        <w:t xml:space="preserve">where a witness with a disability requests accommodation in order to testify, [the law] requires that the court provide such accommodation, so long as it is </w:t>
      </w:r>
      <w:r>
        <w:rPr>
          <w:rFonts w:hAnsi="Times New Roman"/>
          <w:color w:val="252525"/>
          <w:sz w:val="24"/>
          <w:szCs w:val="24"/>
          <w:u w:color="252525"/>
        </w:rPr>
        <w:t>‘</w:t>
      </w:r>
      <w:r>
        <w:rPr>
          <w:rFonts w:ascii="Times New Roman"/>
          <w:color w:val="252525"/>
          <w:sz w:val="24"/>
          <w:szCs w:val="24"/>
          <w:u w:color="252525"/>
        </w:rPr>
        <w:t>reasonable.</w:t>
      </w:r>
      <w:r>
        <w:rPr>
          <w:rFonts w:hAnsi="Times New Roman"/>
          <w:color w:val="252525"/>
          <w:sz w:val="24"/>
          <w:szCs w:val="24"/>
          <w:u w:color="252525"/>
        </w:rPr>
        <w:t>’”</w:t>
      </w:r>
      <w:r>
        <w:rPr>
          <w:rFonts w:ascii="Times New Roman" w:eastAsia="Times New Roman" w:hAnsi="Times New Roman" w:cs="Times New Roman"/>
          <w:color w:val="252525"/>
          <w:sz w:val="24"/>
          <w:szCs w:val="24"/>
          <w:u w:color="252525"/>
          <w:vertAlign w:val="superscript"/>
        </w:rPr>
        <w:footnoteReference w:id="119"/>
      </w:r>
      <w:r>
        <w:rPr>
          <w:rFonts w:hAnsi="Times New Roman"/>
          <w:color w:val="252525"/>
          <w:sz w:val="24"/>
          <w:szCs w:val="24"/>
          <w:u w:color="252525"/>
        </w:rPr>
        <w:t> </w:t>
      </w:r>
      <w:r>
        <w:rPr>
          <w:rFonts w:hAnsi="Times New Roman"/>
          <w:color w:val="252525"/>
          <w:sz w:val="24"/>
          <w:szCs w:val="24"/>
          <w:u w:color="252525"/>
        </w:rPr>
        <w:t xml:space="preserve">  </w:t>
      </w:r>
      <w:r>
        <w:rPr>
          <w:rFonts w:ascii="Times New Roman"/>
          <w:color w:val="252525"/>
          <w:sz w:val="24"/>
          <w:szCs w:val="24"/>
          <w:u w:color="252525"/>
        </w:rPr>
        <w:t>The witness in this case was Ruby McDonough, who is a woman with expressive aphasia, a condition that severely restricts her ability to speak.</w:t>
      </w:r>
      <w:r>
        <w:rPr>
          <w:rFonts w:ascii="Times New Roman" w:eastAsia="Times New Roman" w:hAnsi="Times New Roman" w:cs="Times New Roman"/>
          <w:color w:val="252525"/>
          <w:sz w:val="24"/>
          <w:szCs w:val="24"/>
          <w:u w:color="252525"/>
          <w:vertAlign w:val="superscript"/>
        </w:rPr>
        <w:footnoteReference w:id="120"/>
      </w:r>
      <w:r>
        <w:rPr>
          <w:rFonts w:ascii="Times New Roman"/>
          <w:color w:val="252525"/>
          <w:sz w:val="24"/>
          <w:szCs w:val="24"/>
          <w:u w:color="252525"/>
        </w:rPr>
        <w:t xml:space="preserve">   Ms. McDonough was the Commonwealth</w:t>
      </w:r>
      <w:r>
        <w:rPr>
          <w:rFonts w:hAnsi="Times New Roman"/>
          <w:color w:val="252525"/>
          <w:sz w:val="24"/>
          <w:szCs w:val="24"/>
          <w:u w:color="252525"/>
        </w:rPr>
        <w:t>’</w:t>
      </w:r>
      <w:r>
        <w:rPr>
          <w:rFonts w:ascii="Times New Roman"/>
          <w:color w:val="252525"/>
          <w:sz w:val="24"/>
          <w:szCs w:val="24"/>
          <w:u w:color="252525"/>
        </w:rPr>
        <w:t>s witness in its prosecution case against the man that sexually assaulted her.</w:t>
      </w:r>
      <w:r>
        <w:rPr>
          <w:rFonts w:ascii="Times New Roman" w:eastAsia="Times New Roman" w:hAnsi="Times New Roman" w:cs="Times New Roman"/>
          <w:color w:val="252525"/>
          <w:sz w:val="24"/>
          <w:szCs w:val="24"/>
          <w:u w:color="252525"/>
          <w:vertAlign w:val="superscript"/>
        </w:rPr>
        <w:footnoteReference w:id="121"/>
      </w:r>
      <w:r>
        <w:rPr>
          <w:rFonts w:ascii="Times New Roman"/>
          <w:color w:val="252525"/>
          <w:sz w:val="24"/>
          <w:szCs w:val="24"/>
          <w:u w:color="252525"/>
        </w:rPr>
        <w:t xml:space="preserve">  During pretrial proceedings, the defendant challenged Ms. McDonough</w:t>
      </w:r>
      <w:r>
        <w:rPr>
          <w:rFonts w:hAnsi="Times New Roman"/>
          <w:color w:val="252525"/>
          <w:sz w:val="24"/>
          <w:szCs w:val="24"/>
          <w:u w:color="252525"/>
        </w:rPr>
        <w:t>’</w:t>
      </w:r>
      <w:r>
        <w:rPr>
          <w:rFonts w:ascii="Times New Roman"/>
          <w:color w:val="252525"/>
          <w:sz w:val="24"/>
          <w:szCs w:val="24"/>
          <w:u w:color="252525"/>
        </w:rPr>
        <w:t>s competence to testify against him and asked that she be subjected to a competency hearing.</w:t>
      </w:r>
      <w:r>
        <w:rPr>
          <w:rFonts w:ascii="Times New Roman" w:eastAsia="Times New Roman" w:hAnsi="Times New Roman" w:cs="Times New Roman"/>
          <w:color w:val="252525"/>
          <w:sz w:val="24"/>
          <w:szCs w:val="24"/>
          <w:u w:color="252525"/>
          <w:vertAlign w:val="superscript"/>
        </w:rPr>
        <w:footnoteReference w:id="122"/>
      </w:r>
      <w:r>
        <w:rPr>
          <w:rFonts w:ascii="Times New Roman"/>
          <w:color w:val="252525"/>
          <w:sz w:val="24"/>
          <w:szCs w:val="24"/>
          <w:u w:color="252525"/>
        </w:rPr>
        <w:t xml:space="preserve">  During this hearing defendant</w:t>
      </w:r>
      <w:r>
        <w:rPr>
          <w:rFonts w:hAnsi="Times New Roman"/>
          <w:color w:val="252525"/>
          <w:sz w:val="24"/>
          <w:szCs w:val="24"/>
          <w:u w:color="252525"/>
        </w:rPr>
        <w:t>’</w:t>
      </w:r>
      <w:r>
        <w:rPr>
          <w:rFonts w:ascii="Times New Roman"/>
          <w:color w:val="252525"/>
          <w:sz w:val="24"/>
          <w:szCs w:val="24"/>
          <w:u w:color="252525"/>
        </w:rPr>
        <w:t>s counsel purposefully took advantage of Ms. McDonough</w:t>
      </w:r>
      <w:r>
        <w:rPr>
          <w:rFonts w:hAnsi="Times New Roman"/>
          <w:color w:val="252525"/>
          <w:sz w:val="24"/>
          <w:szCs w:val="24"/>
          <w:u w:color="252525"/>
        </w:rPr>
        <w:t>’</w:t>
      </w:r>
      <w:r>
        <w:rPr>
          <w:rFonts w:ascii="Times New Roman"/>
          <w:color w:val="252525"/>
          <w:sz w:val="24"/>
          <w:szCs w:val="24"/>
          <w:u w:color="252525"/>
        </w:rPr>
        <w:t>s disability by asking her open ended questions he knew she could not answer, and using intimidating tactics guaranteed to frustrate her attempt to testify.</w:t>
      </w:r>
      <w:r>
        <w:rPr>
          <w:rFonts w:ascii="Times New Roman" w:eastAsia="Times New Roman" w:hAnsi="Times New Roman" w:cs="Times New Roman"/>
          <w:color w:val="252525"/>
          <w:sz w:val="24"/>
          <w:szCs w:val="24"/>
          <w:u w:color="252525"/>
          <w:vertAlign w:val="superscript"/>
        </w:rPr>
        <w:footnoteReference w:id="123"/>
      </w:r>
      <w:r>
        <w:rPr>
          <w:rFonts w:ascii="Times New Roman"/>
          <w:color w:val="252525"/>
          <w:sz w:val="24"/>
          <w:szCs w:val="24"/>
          <w:u w:color="252525"/>
        </w:rPr>
        <w:t xml:space="preserve">  Despite the expert</w:t>
      </w:r>
      <w:r>
        <w:rPr>
          <w:rFonts w:hAnsi="Times New Roman"/>
          <w:color w:val="252525"/>
          <w:sz w:val="24"/>
          <w:szCs w:val="24"/>
          <w:u w:color="252525"/>
        </w:rPr>
        <w:t>’</w:t>
      </w:r>
      <w:r>
        <w:rPr>
          <w:rFonts w:ascii="Times New Roman"/>
          <w:color w:val="252525"/>
          <w:sz w:val="24"/>
          <w:szCs w:val="24"/>
          <w:u w:color="252525"/>
        </w:rPr>
        <w:t xml:space="preserve">s report and testimony that Ms. McDonough was competent to testify especially where accommodated with questions with a </w:t>
      </w:r>
      <w:r>
        <w:rPr>
          <w:rFonts w:hAnsi="Times New Roman"/>
          <w:color w:val="252525"/>
          <w:sz w:val="24"/>
          <w:szCs w:val="24"/>
          <w:u w:color="252525"/>
        </w:rPr>
        <w:t>“</w:t>
      </w:r>
      <w:r>
        <w:rPr>
          <w:rFonts w:ascii="Times New Roman"/>
          <w:color w:val="252525"/>
          <w:sz w:val="24"/>
          <w:szCs w:val="24"/>
          <w:u w:color="252525"/>
        </w:rPr>
        <w:t>yes</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 xml:space="preserve">or </w:t>
      </w:r>
      <w:r>
        <w:rPr>
          <w:rFonts w:hAnsi="Times New Roman"/>
          <w:color w:val="252525"/>
          <w:sz w:val="24"/>
          <w:szCs w:val="24"/>
          <w:u w:color="252525"/>
        </w:rPr>
        <w:t>“</w:t>
      </w:r>
      <w:r>
        <w:rPr>
          <w:rFonts w:ascii="Times New Roman"/>
          <w:color w:val="252525"/>
          <w:sz w:val="24"/>
          <w:szCs w:val="24"/>
          <w:u w:color="252525"/>
        </w:rPr>
        <w:t>no</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answer, or with simple gestures, the trial judge found her incompetent to testify.</w:t>
      </w:r>
      <w:r>
        <w:rPr>
          <w:rFonts w:ascii="Times New Roman" w:eastAsia="Times New Roman" w:hAnsi="Times New Roman" w:cs="Times New Roman"/>
          <w:color w:val="252525"/>
          <w:sz w:val="24"/>
          <w:szCs w:val="24"/>
          <w:u w:color="252525"/>
          <w:vertAlign w:val="superscript"/>
        </w:rPr>
        <w:footnoteReference w:id="124"/>
      </w:r>
      <w:r>
        <w:rPr>
          <w:rFonts w:ascii="Times New Roman"/>
          <w:color w:val="252525"/>
          <w:sz w:val="24"/>
          <w:szCs w:val="24"/>
          <w:u w:color="252525"/>
        </w:rPr>
        <w:t xml:space="preserve">  </w:t>
      </w:r>
      <w:r>
        <w:rPr>
          <w:rFonts w:ascii="Times New Roman"/>
          <w:color w:val="252525"/>
          <w:sz w:val="24"/>
          <w:szCs w:val="24"/>
          <w:u w:color="252525"/>
        </w:rPr>
        <w:lastRenderedPageBreak/>
        <w:t xml:space="preserve">Although the trial judge found that Ms. McDonough knew the </w:t>
      </w:r>
      <w:r>
        <w:rPr>
          <w:rFonts w:hAnsi="Times New Roman"/>
          <w:color w:val="252525"/>
          <w:sz w:val="24"/>
          <w:szCs w:val="24"/>
          <w:u w:color="252525"/>
        </w:rPr>
        <w:t>“…</w:t>
      </w:r>
      <w:r>
        <w:rPr>
          <w:rFonts w:ascii="Times New Roman"/>
          <w:color w:val="252525"/>
          <w:sz w:val="24"/>
          <w:szCs w:val="24"/>
          <w:u w:color="252525"/>
        </w:rPr>
        <w:t>difference between truth and falsehood, and her obligation to tell the truth</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 xml:space="preserve">he ultimately decided that she was not competent to testify because he found her easily confused by the phrasing of questions, and </w:t>
      </w:r>
      <w:r>
        <w:rPr>
          <w:rFonts w:hAnsi="Times New Roman"/>
          <w:color w:val="252525"/>
          <w:sz w:val="24"/>
          <w:szCs w:val="24"/>
          <w:u w:color="252525"/>
        </w:rPr>
        <w:t>“</w:t>
      </w:r>
      <w:r>
        <w:rPr>
          <w:rFonts w:ascii="Times New Roman"/>
          <w:color w:val="252525"/>
          <w:sz w:val="24"/>
          <w:szCs w:val="24"/>
          <w:u w:color="252525"/>
        </w:rPr>
        <w:t>incapable of providing any narrative.</w:t>
      </w:r>
      <w:r>
        <w:rPr>
          <w:rFonts w:hAnsi="Times New Roman"/>
          <w:color w:val="252525"/>
          <w:sz w:val="24"/>
          <w:szCs w:val="24"/>
          <w:u w:color="252525"/>
        </w:rPr>
        <w:t>”</w:t>
      </w:r>
      <w:r>
        <w:rPr>
          <w:rFonts w:ascii="Times New Roman" w:eastAsia="Times New Roman" w:hAnsi="Times New Roman" w:cs="Times New Roman"/>
          <w:color w:val="252525"/>
          <w:sz w:val="24"/>
          <w:szCs w:val="24"/>
          <w:u w:color="252525"/>
          <w:vertAlign w:val="superscript"/>
        </w:rPr>
        <w:footnoteReference w:id="125"/>
      </w:r>
      <w:r>
        <w:rPr>
          <w:rFonts w:ascii="Times New Roman"/>
          <w:color w:val="252525"/>
          <w:sz w:val="24"/>
          <w:szCs w:val="24"/>
          <w:u w:color="252525"/>
        </w:rPr>
        <w:t xml:space="preserve">  </w:t>
      </w:r>
      <w:r>
        <w:rPr>
          <w:rFonts w:ascii="Times New Roman"/>
          <w:sz w:val="24"/>
          <w:szCs w:val="24"/>
        </w:rPr>
        <w:t>The trial judge also found that if Ms. McDonough was allowed to testify, the defendant would be robbed of his right to a meaningful cross examination and a fair trial.</w:t>
      </w:r>
      <w:r>
        <w:rPr>
          <w:rFonts w:ascii="Times New Roman" w:eastAsia="Times New Roman" w:hAnsi="Times New Roman" w:cs="Times New Roman"/>
          <w:sz w:val="24"/>
          <w:szCs w:val="24"/>
          <w:vertAlign w:val="superscript"/>
        </w:rPr>
        <w:footnoteReference w:id="126"/>
      </w:r>
      <w:r>
        <w:rPr>
          <w:rFonts w:ascii="Times New Roman"/>
          <w:sz w:val="24"/>
          <w:szCs w:val="24"/>
        </w:rPr>
        <w:t xml:space="preserve">  On appeal, although the Supreme Judicial Court found that Ms. McDonough lacked standing to challenge the trial judge</w:t>
      </w:r>
      <w:r>
        <w:rPr>
          <w:rFonts w:hAnsi="Times New Roman"/>
          <w:sz w:val="24"/>
          <w:szCs w:val="24"/>
        </w:rPr>
        <w:t>’</w:t>
      </w:r>
      <w:r>
        <w:rPr>
          <w:rFonts w:ascii="Times New Roman"/>
          <w:sz w:val="24"/>
          <w:szCs w:val="24"/>
        </w:rPr>
        <w:t>s decision to exclude her testimony as a witness, it did however find that her rights had been violated.</w:t>
      </w:r>
      <w:r>
        <w:rPr>
          <w:rFonts w:ascii="Times New Roman" w:eastAsia="Times New Roman" w:hAnsi="Times New Roman" w:cs="Times New Roman"/>
          <w:sz w:val="24"/>
          <w:szCs w:val="24"/>
          <w:vertAlign w:val="superscript"/>
        </w:rPr>
        <w:footnoteReference w:id="127"/>
      </w:r>
      <w:r>
        <w:rPr>
          <w:rFonts w:ascii="Times New Roman"/>
          <w:sz w:val="24"/>
          <w:szCs w:val="24"/>
        </w:rPr>
        <w:t xml:space="preserve">  The ruling in this case is important because it illustrates the extent our legal system renders women with disabilities powerless.</w:t>
      </w:r>
      <w:r>
        <w:rPr>
          <w:rFonts w:ascii="Times New Roman" w:eastAsia="Times New Roman" w:hAnsi="Times New Roman" w:cs="Times New Roman"/>
          <w:sz w:val="24"/>
          <w:szCs w:val="24"/>
          <w:vertAlign w:val="superscript"/>
        </w:rPr>
        <w:footnoteReference w:id="128"/>
      </w:r>
      <w:r>
        <w:rPr>
          <w:rFonts w:ascii="Times New Roman"/>
          <w:sz w:val="24"/>
          <w:szCs w:val="24"/>
        </w:rPr>
        <w:t xml:space="preserve">  It shows that without accommodations, women with disabilities will be excluded from the justice system simply because of their disabilities.</w:t>
      </w:r>
      <w:r>
        <w:rPr>
          <w:rFonts w:ascii="Times New Roman" w:eastAsia="Times New Roman" w:hAnsi="Times New Roman" w:cs="Times New Roman"/>
          <w:sz w:val="24"/>
          <w:szCs w:val="24"/>
          <w:vertAlign w:val="superscript"/>
        </w:rPr>
        <w:footnoteReference w:id="129"/>
      </w:r>
    </w:p>
    <w:p w14:paraId="0B4AD00E"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When women with disabilities participate in the U.S. justice system, their credibility as a witness is questioned in a way that presents new barriers and challenges to meaningfully engage in the justice system.</w:t>
      </w:r>
      <w:r>
        <w:rPr>
          <w:rFonts w:ascii="Times New Roman" w:eastAsia="Times New Roman" w:hAnsi="Times New Roman" w:cs="Times New Roman"/>
          <w:sz w:val="24"/>
          <w:szCs w:val="24"/>
          <w:vertAlign w:val="superscript"/>
        </w:rPr>
        <w:footnoteReference w:id="130"/>
      </w:r>
      <w:r>
        <w:rPr>
          <w:rFonts w:ascii="Times New Roman"/>
          <w:sz w:val="24"/>
          <w:szCs w:val="24"/>
        </w:rPr>
        <w:t xml:space="preserve">  For example, in </w:t>
      </w:r>
      <w:r>
        <w:rPr>
          <w:rFonts w:ascii="Times New Roman"/>
          <w:i/>
          <w:iCs/>
          <w:sz w:val="24"/>
          <w:szCs w:val="24"/>
          <w:lang w:val="it-IT"/>
        </w:rPr>
        <w:t>Tromello v. Dibuono</w:t>
      </w:r>
      <w:r>
        <w:rPr>
          <w:rFonts w:ascii="Times New Roman"/>
          <w:sz w:val="24"/>
          <w:szCs w:val="24"/>
        </w:rPr>
        <w:t>, the defendant, accused of psychiatric malpractice, sought to exclude plaintiff</w:t>
      </w:r>
      <w:r>
        <w:rPr>
          <w:rFonts w:hAnsi="Times New Roman"/>
          <w:sz w:val="24"/>
          <w:szCs w:val="24"/>
        </w:rPr>
        <w:t>’</w:t>
      </w:r>
      <w:r>
        <w:rPr>
          <w:rFonts w:ascii="Times New Roman"/>
          <w:sz w:val="24"/>
          <w:szCs w:val="24"/>
        </w:rPr>
        <w:t>s testimony simply because of her mental disability.</w:t>
      </w:r>
      <w:r>
        <w:rPr>
          <w:rFonts w:ascii="Times New Roman" w:eastAsia="Times New Roman" w:hAnsi="Times New Roman" w:cs="Times New Roman"/>
          <w:sz w:val="24"/>
          <w:szCs w:val="24"/>
          <w:vertAlign w:val="superscript"/>
        </w:rPr>
        <w:footnoteReference w:id="131"/>
      </w:r>
      <w:r>
        <w:rPr>
          <w:rFonts w:ascii="Times New Roman"/>
          <w:sz w:val="24"/>
          <w:szCs w:val="24"/>
        </w:rPr>
        <w:t xml:space="preserve">  Although the Court in </w:t>
      </w:r>
      <w:r>
        <w:rPr>
          <w:rFonts w:ascii="Times New Roman"/>
          <w:i/>
          <w:iCs/>
          <w:sz w:val="24"/>
          <w:szCs w:val="24"/>
        </w:rPr>
        <w:t>Tromello</w:t>
      </w:r>
      <w:r>
        <w:rPr>
          <w:rFonts w:ascii="Times New Roman"/>
          <w:sz w:val="24"/>
          <w:szCs w:val="24"/>
        </w:rPr>
        <w:t xml:space="preserve"> ultimately admits plaintiff</w:t>
      </w:r>
      <w:r>
        <w:rPr>
          <w:rFonts w:hAnsi="Times New Roman"/>
          <w:sz w:val="24"/>
          <w:szCs w:val="24"/>
        </w:rPr>
        <w:t>’</w:t>
      </w:r>
      <w:r>
        <w:rPr>
          <w:rFonts w:ascii="Times New Roman"/>
          <w:sz w:val="24"/>
          <w:szCs w:val="24"/>
        </w:rPr>
        <w:t xml:space="preserve">s testimony, it does so with the caveat that evidence of her mental capacity and disability be admitted into evidence </w:t>
      </w:r>
      <w:r>
        <w:rPr>
          <w:rFonts w:hAnsi="Times New Roman"/>
          <w:sz w:val="24"/>
          <w:szCs w:val="24"/>
        </w:rPr>
        <w:t>“</w:t>
      </w:r>
      <w:r w:rsidR="00B92747">
        <w:rPr>
          <w:rFonts w:ascii="Times New Roman"/>
          <w:sz w:val="24"/>
          <w:szCs w:val="24"/>
        </w:rPr>
        <w:t>t</w:t>
      </w:r>
      <w:r>
        <w:rPr>
          <w:rFonts w:ascii="Times New Roman"/>
          <w:sz w:val="24"/>
          <w:szCs w:val="24"/>
        </w:rPr>
        <w:t>o assist the jury in evaluating the weight, if any, to be given to the testimony.</w:t>
      </w:r>
      <w:r>
        <w:rPr>
          <w:rFonts w:hAnsi="Times New Roman"/>
          <w:sz w:val="24"/>
          <w:szCs w:val="24"/>
        </w:rPr>
        <w:t>”</w:t>
      </w:r>
      <w:r>
        <w:rPr>
          <w:rFonts w:ascii="Times New Roman" w:eastAsia="Times New Roman" w:hAnsi="Times New Roman" w:cs="Times New Roman"/>
          <w:sz w:val="24"/>
          <w:szCs w:val="24"/>
          <w:vertAlign w:val="superscript"/>
        </w:rPr>
        <w:footnoteReference w:id="132"/>
      </w:r>
      <w:r>
        <w:rPr>
          <w:rFonts w:ascii="Times New Roman"/>
          <w:sz w:val="24"/>
          <w:szCs w:val="24"/>
          <w:lang w:val="de-DE"/>
        </w:rPr>
        <w:t xml:space="preserve"> </w:t>
      </w:r>
      <w:r w:rsidR="006A6DE4">
        <w:rPr>
          <w:rFonts w:ascii="Times New Roman"/>
          <w:sz w:val="24"/>
          <w:szCs w:val="24"/>
        </w:rPr>
        <w:t>P</w:t>
      </w:r>
      <w:r>
        <w:rPr>
          <w:rFonts w:ascii="Times New Roman"/>
          <w:sz w:val="24"/>
          <w:szCs w:val="24"/>
        </w:rPr>
        <w:t>assing the test of com</w:t>
      </w:r>
      <w:r w:rsidR="006A6DE4">
        <w:rPr>
          <w:rFonts w:ascii="Times New Roman"/>
          <w:sz w:val="24"/>
          <w:szCs w:val="24"/>
        </w:rPr>
        <w:t>petence is not enough;</w:t>
      </w:r>
      <w:r>
        <w:rPr>
          <w:rFonts w:ascii="Times New Roman"/>
          <w:sz w:val="24"/>
          <w:szCs w:val="24"/>
        </w:rPr>
        <w:t xml:space="preserve"> testimon</w:t>
      </w:r>
      <w:r w:rsidR="006A6DE4">
        <w:rPr>
          <w:rFonts w:ascii="Times New Roman"/>
          <w:sz w:val="24"/>
          <w:szCs w:val="24"/>
        </w:rPr>
        <w:t>y</w:t>
      </w:r>
      <w:r>
        <w:rPr>
          <w:rFonts w:ascii="Times New Roman"/>
          <w:sz w:val="24"/>
          <w:szCs w:val="24"/>
        </w:rPr>
        <w:t xml:space="preserve"> </w:t>
      </w:r>
      <w:r w:rsidR="006A6DE4">
        <w:rPr>
          <w:rFonts w:ascii="Times New Roman"/>
          <w:sz w:val="24"/>
          <w:szCs w:val="24"/>
        </w:rPr>
        <w:t>is</w:t>
      </w:r>
      <w:r>
        <w:rPr>
          <w:rFonts w:ascii="Times New Roman"/>
          <w:sz w:val="24"/>
          <w:szCs w:val="24"/>
        </w:rPr>
        <w:t xml:space="preserve"> further evaluated and weighed in light of the severity or nature of their disability.</w:t>
      </w:r>
      <w:r>
        <w:rPr>
          <w:rFonts w:ascii="Times New Roman" w:eastAsia="Times New Roman" w:hAnsi="Times New Roman" w:cs="Times New Roman"/>
          <w:sz w:val="24"/>
          <w:szCs w:val="24"/>
          <w:vertAlign w:val="superscript"/>
        </w:rPr>
        <w:footnoteReference w:id="133"/>
      </w:r>
    </w:p>
    <w:p w14:paraId="501C6601" w14:textId="77777777" w:rsidR="004224E7" w:rsidRPr="004224E7" w:rsidRDefault="006A6DE4" w:rsidP="00AE0CEE">
      <w:pPr>
        <w:pStyle w:val="BodyA"/>
        <w:spacing w:after="200"/>
        <w:rPr>
          <w:rFonts w:ascii="Times New Roman" w:eastAsia="Times New Roman" w:hAnsi="Times New Roman" w:cs="Times New Roman"/>
          <w:sz w:val="24"/>
          <w:szCs w:val="24"/>
        </w:rPr>
      </w:pPr>
      <w:r>
        <w:rPr>
          <w:rFonts w:ascii="Times New Roman"/>
          <w:sz w:val="24"/>
          <w:szCs w:val="24"/>
        </w:rPr>
        <w:t>Furthermore, c</w:t>
      </w:r>
      <w:r w:rsidR="004224E7">
        <w:rPr>
          <w:rFonts w:ascii="Times New Roman"/>
          <w:sz w:val="24"/>
          <w:szCs w:val="24"/>
        </w:rPr>
        <w:t>rimes committed against individuals with disabilities are often characterized as abuse and neglect instead of specific crimes such as assault, rape, and murder.</w:t>
      </w:r>
      <w:r w:rsidR="004224E7">
        <w:rPr>
          <w:rFonts w:ascii="Times New Roman" w:eastAsia="Times New Roman" w:hAnsi="Times New Roman" w:cs="Times New Roman"/>
          <w:sz w:val="24"/>
          <w:szCs w:val="24"/>
          <w:vertAlign w:val="superscript"/>
        </w:rPr>
        <w:footnoteReference w:id="134"/>
      </w:r>
      <w:r w:rsidR="004224E7">
        <w:rPr>
          <w:rFonts w:ascii="Times New Roman"/>
          <w:sz w:val="24"/>
          <w:szCs w:val="24"/>
        </w:rPr>
        <w:t xml:space="preserve"> This often leads to the understatement of the problem of criminal victimization of individuals with disabilities. Additionally, from the perspective of a victim with a disability, there are significant barriers to reporting a crime, including </w:t>
      </w:r>
      <w:r w:rsidR="004224E7">
        <w:rPr>
          <w:rFonts w:hAnsi="Times New Roman"/>
          <w:sz w:val="24"/>
          <w:szCs w:val="24"/>
        </w:rPr>
        <w:t>“</w:t>
      </w:r>
      <w:r w:rsidR="004224E7">
        <w:rPr>
          <w:rFonts w:ascii="Times New Roman"/>
          <w:sz w:val="24"/>
          <w:szCs w:val="24"/>
        </w:rPr>
        <w:t>fear of loss of a caregiver, inability to verbally communicate as a result of the disability, and fear of not being taken seriously,</w:t>
      </w:r>
      <w:r w:rsidR="004224E7">
        <w:rPr>
          <w:rFonts w:hAnsi="Times New Roman"/>
          <w:sz w:val="24"/>
          <w:szCs w:val="24"/>
        </w:rPr>
        <w:t>”</w:t>
      </w:r>
      <w:r w:rsidR="004224E7">
        <w:rPr>
          <w:rFonts w:hAnsi="Times New Roman"/>
          <w:sz w:val="24"/>
          <w:szCs w:val="24"/>
        </w:rPr>
        <w:t xml:space="preserve"> </w:t>
      </w:r>
      <w:r w:rsidR="004224E7">
        <w:rPr>
          <w:rFonts w:ascii="Times New Roman"/>
          <w:sz w:val="24"/>
          <w:szCs w:val="24"/>
        </w:rPr>
        <w:t>among other barriers.</w:t>
      </w:r>
      <w:r w:rsidR="004224E7">
        <w:rPr>
          <w:rFonts w:ascii="Times New Roman" w:eastAsia="Times New Roman" w:hAnsi="Times New Roman" w:cs="Times New Roman"/>
          <w:sz w:val="24"/>
          <w:szCs w:val="24"/>
          <w:vertAlign w:val="superscript"/>
        </w:rPr>
        <w:footnoteReference w:id="135"/>
      </w:r>
      <w:r w:rsidR="004224E7">
        <w:rPr>
          <w:rFonts w:ascii="Times New Roman"/>
          <w:sz w:val="24"/>
          <w:szCs w:val="24"/>
        </w:rPr>
        <w:t xml:space="preserve"> Often individuals with disabilities are dependent upon their abusers who are caregivers, friends, or family members to assist with personal care and other needs. Additionally, even when people with disabilities do report crimes, prosecutors or the justice system may not take their claims seriously.</w:t>
      </w:r>
      <w:r w:rsidR="004224E7">
        <w:rPr>
          <w:rFonts w:ascii="Times New Roman" w:eastAsia="Times New Roman" w:hAnsi="Times New Roman" w:cs="Times New Roman"/>
          <w:sz w:val="24"/>
          <w:szCs w:val="24"/>
          <w:vertAlign w:val="superscript"/>
        </w:rPr>
        <w:footnoteReference w:id="136"/>
      </w:r>
      <w:r w:rsidR="004224E7">
        <w:rPr>
          <w:rFonts w:ascii="Times New Roman"/>
          <w:sz w:val="24"/>
          <w:szCs w:val="24"/>
        </w:rPr>
        <w:t xml:space="preserve">  Likewise, cases involving individuals are often not prosecuted because of the </w:t>
      </w:r>
      <w:r w:rsidR="004224E7">
        <w:rPr>
          <w:rFonts w:ascii="Times New Roman"/>
          <w:sz w:val="24"/>
          <w:szCs w:val="24"/>
        </w:rPr>
        <w:lastRenderedPageBreak/>
        <w:t>assumption and belief that such persons cannot be credible witnesses.</w:t>
      </w:r>
      <w:r w:rsidR="004224E7">
        <w:rPr>
          <w:rFonts w:ascii="Times New Roman" w:eastAsia="Times New Roman" w:hAnsi="Times New Roman" w:cs="Times New Roman"/>
          <w:sz w:val="24"/>
          <w:szCs w:val="24"/>
          <w:vertAlign w:val="superscript"/>
        </w:rPr>
        <w:footnoteReference w:id="137"/>
      </w:r>
      <w:r w:rsidR="004224E7">
        <w:rPr>
          <w:rFonts w:ascii="Times New Roman"/>
          <w:sz w:val="24"/>
          <w:szCs w:val="24"/>
        </w:rPr>
        <w:t xml:space="preserve">  This belief prevails despite evidence showing that persons with disabilities are as competent as individuals without disabilities when asked to recall previously viewed recordings of crime.</w:t>
      </w:r>
      <w:r w:rsidR="004224E7">
        <w:rPr>
          <w:rFonts w:ascii="Times New Roman" w:eastAsia="Times New Roman" w:hAnsi="Times New Roman" w:cs="Times New Roman"/>
          <w:sz w:val="24"/>
          <w:szCs w:val="24"/>
          <w:vertAlign w:val="superscript"/>
        </w:rPr>
        <w:footnoteReference w:id="138"/>
      </w:r>
      <w:r w:rsidR="004224E7">
        <w:rPr>
          <w:rFonts w:ascii="Times New Roman"/>
          <w:sz w:val="24"/>
          <w:szCs w:val="24"/>
        </w:rPr>
        <w:t xml:space="preserve">  </w:t>
      </w:r>
    </w:p>
    <w:p w14:paraId="6C8201B0"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Furthermore, courthouses and police stations may also not have the resources necessary to ensure that witnesses with disabilities have the ability to adequately communicate with the justice system or access information. During initial police questioning for example, sign language interpreters may not be readily accessible to assist women with hearing impairments; information may not be available in Braille or other alternative formats, making it more difficult for women with a visual disability to pursue their complaints.</w:t>
      </w:r>
      <w:r>
        <w:rPr>
          <w:rFonts w:ascii="Times New Roman" w:eastAsia="Times New Roman" w:hAnsi="Times New Roman" w:cs="Times New Roman"/>
          <w:sz w:val="24"/>
          <w:szCs w:val="24"/>
          <w:vertAlign w:val="superscript"/>
        </w:rPr>
        <w:footnoteReference w:id="139"/>
      </w:r>
      <w:r>
        <w:rPr>
          <w:rFonts w:ascii="Times New Roman"/>
          <w:sz w:val="24"/>
          <w:szCs w:val="24"/>
        </w:rPr>
        <w:t xml:space="preserve">  The courts rarely have special accommodations to assist people with disabilities.</w:t>
      </w:r>
      <w:r>
        <w:rPr>
          <w:rFonts w:ascii="Times New Roman" w:eastAsia="Times New Roman" w:hAnsi="Times New Roman" w:cs="Times New Roman"/>
          <w:sz w:val="24"/>
          <w:szCs w:val="24"/>
          <w:vertAlign w:val="superscript"/>
        </w:rPr>
        <w:footnoteReference w:id="140"/>
      </w:r>
      <w:r>
        <w:rPr>
          <w:rFonts w:ascii="Times New Roman"/>
          <w:sz w:val="24"/>
          <w:szCs w:val="24"/>
        </w:rPr>
        <w:t xml:space="preserve">  There generally are no specially trained court officers, police officers, advocates, or provisions for the use of videotaped or closed circuit television as a substitute for live testimony.</w:t>
      </w:r>
      <w:r>
        <w:rPr>
          <w:rFonts w:ascii="Times New Roman" w:eastAsia="Times New Roman" w:hAnsi="Times New Roman" w:cs="Times New Roman"/>
          <w:sz w:val="24"/>
          <w:szCs w:val="24"/>
          <w:vertAlign w:val="superscript"/>
        </w:rPr>
        <w:footnoteReference w:id="141"/>
      </w:r>
      <w:r>
        <w:rPr>
          <w:rFonts w:ascii="Times New Roman"/>
          <w:sz w:val="24"/>
          <w:szCs w:val="24"/>
        </w:rPr>
        <w:t xml:space="preserve">  Unlike other countries, the </w:t>
      </w:r>
      <w:r w:rsidR="006A6DE4">
        <w:rPr>
          <w:rFonts w:ascii="Times New Roman"/>
          <w:sz w:val="24"/>
          <w:szCs w:val="24"/>
        </w:rPr>
        <w:t>U.S.</w:t>
      </w:r>
      <w:r>
        <w:rPr>
          <w:rFonts w:ascii="Times New Roman"/>
          <w:sz w:val="24"/>
          <w:szCs w:val="24"/>
        </w:rPr>
        <w:t xml:space="preserve"> justice system generally has no special protection for persons with disabilities.  For example, the courts in England require a special legal advocate to be present during the questioning of an individual (victim) with a disability.</w:t>
      </w:r>
      <w:r>
        <w:rPr>
          <w:rFonts w:ascii="Times New Roman" w:eastAsia="Times New Roman" w:hAnsi="Times New Roman" w:cs="Times New Roman"/>
          <w:sz w:val="24"/>
          <w:szCs w:val="24"/>
          <w:vertAlign w:val="superscript"/>
        </w:rPr>
        <w:footnoteReference w:id="142"/>
      </w:r>
      <w:r>
        <w:rPr>
          <w:rFonts w:ascii="Times New Roman"/>
          <w:sz w:val="24"/>
          <w:szCs w:val="24"/>
        </w:rPr>
        <w:t xml:space="preserve"> Oftentimes this advocate is someone close to the victim who helps the victim understand the questions being asked during the investigation.</w:t>
      </w:r>
      <w:r>
        <w:rPr>
          <w:rFonts w:ascii="Times New Roman" w:eastAsia="Times New Roman" w:hAnsi="Times New Roman" w:cs="Times New Roman"/>
          <w:sz w:val="24"/>
          <w:szCs w:val="24"/>
          <w:vertAlign w:val="superscript"/>
        </w:rPr>
        <w:footnoteReference w:id="143"/>
      </w:r>
      <w:r>
        <w:rPr>
          <w:rFonts w:ascii="Times New Roman"/>
          <w:sz w:val="24"/>
          <w:szCs w:val="24"/>
        </w:rPr>
        <w:t xml:space="preserve"> </w:t>
      </w:r>
    </w:p>
    <w:p w14:paraId="5287A829"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A process called </w:t>
      </w:r>
      <w:r>
        <w:rPr>
          <w:rFonts w:hAnsi="Times New Roman"/>
          <w:sz w:val="24"/>
          <w:szCs w:val="24"/>
        </w:rPr>
        <w:t>“</w:t>
      </w:r>
      <w:r>
        <w:rPr>
          <w:rFonts w:ascii="Times New Roman"/>
          <w:sz w:val="24"/>
          <w:szCs w:val="24"/>
        </w:rPr>
        <w:t>facilitated communication</w:t>
      </w:r>
      <w:r>
        <w:rPr>
          <w:rFonts w:hAnsi="Times New Roman"/>
          <w:sz w:val="24"/>
          <w:szCs w:val="24"/>
        </w:rPr>
        <w:t>”</w:t>
      </w:r>
      <w:r>
        <w:rPr>
          <w:rFonts w:hAnsi="Times New Roman"/>
          <w:sz w:val="24"/>
          <w:szCs w:val="24"/>
        </w:rPr>
        <w:t xml:space="preserve"> </w:t>
      </w:r>
      <w:r>
        <w:rPr>
          <w:rFonts w:ascii="Times New Roman"/>
          <w:sz w:val="24"/>
          <w:szCs w:val="24"/>
        </w:rPr>
        <w:t>can be used to assist non-verbal women with disabilities, such as people with autism, in communication.</w:t>
      </w:r>
      <w:r>
        <w:rPr>
          <w:rFonts w:ascii="Times New Roman" w:eastAsia="Times New Roman" w:hAnsi="Times New Roman" w:cs="Times New Roman"/>
          <w:sz w:val="24"/>
          <w:szCs w:val="24"/>
          <w:vertAlign w:val="superscript"/>
        </w:rPr>
        <w:footnoteReference w:id="144"/>
      </w:r>
      <w:r>
        <w:rPr>
          <w:rFonts w:ascii="Times New Roman"/>
          <w:sz w:val="24"/>
          <w:szCs w:val="24"/>
        </w:rPr>
        <w:t xml:space="preserve">  Specifically, facilitated communication is </w:t>
      </w:r>
      <w:r>
        <w:rPr>
          <w:rFonts w:hAnsi="Times New Roman"/>
          <w:sz w:val="24"/>
          <w:szCs w:val="24"/>
        </w:rPr>
        <w:t>“</w:t>
      </w:r>
      <w:r>
        <w:rPr>
          <w:rFonts w:ascii="Times New Roman"/>
          <w:sz w:val="24"/>
          <w:szCs w:val="24"/>
        </w:rPr>
        <w:t>a form of alternative and augmentative communication (AAC) in which people with disabilities and communication impairments express themselves by pointing (e.g. at pictures, letters, or objects) and, more commonly, by typing.</w:t>
      </w:r>
      <w:r>
        <w:rPr>
          <w:rFonts w:hAnsi="Times New Roman"/>
          <w:sz w:val="24"/>
          <w:szCs w:val="24"/>
        </w:rPr>
        <w:t>”</w:t>
      </w:r>
      <w:r>
        <w:rPr>
          <w:rFonts w:ascii="Times New Roman" w:eastAsia="Times New Roman" w:hAnsi="Times New Roman" w:cs="Times New Roman"/>
          <w:sz w:val="24"/>
          <w:szCs w:val="24"/>
          <w:vertAlign w:val="superscript"/>
        </w:rPr>
        <w:footnoteReference w:id="145"/>
      </w:r>
      <w:r>
        <w:rPr>
          <w:rFonts w:ascii="Times New Roman"/>
          <w:sz w:val="24"/>
          <w:szCs w:val="24"/>
        </w:rPr>
        <w:t xml:space="preserve">  Facilitated communication, involves a communication partner who not only supports communication, but also provides emotional encouragement.  The communication partner works with persons with disabilities to help stabilize their movements and avoid impulsive pointing.  Their role is one of support; they should not move or lead the person.</w:t>
      </w:r>
      <w:r>
        <w:rPr>
          <w:rFonts w:ascii="Times New Roman" w:eastAsia="Times New Roman" w:hAnsi="Times New Roman" w:cs="Times New Roman"/>
          <w:sz w:val="24"/>
          <w:szCs w:val="24"/>
          <w:vertAlign w:val="superscript"/>
        </w:rPr>
        <w:footnoteReference w:id="146"/>
      </w:r>
      <w:r>
        <w:rPr>
          <w:rFonts w:ascii="Times New Roman"/>
          <w:sz w:val="24"/>
          <w:szCs w:val="24"/>
        </w:rPr>
        <w:t xml:space="preserve">  Unfortunately, some courts have refused to admit such statements because facilitated communication has not garnered wide acceptance by some in the scientific community as of yet, despite evidence of its reliability.</w:t>
      </w:r>
      <w:r>
        <w:rPr>
          <w:rFonts w:ascii="Times New Roman" w:eastAsia="Times New Roman" w:hAnsi="Times New Roman" w:cs="Times New Roman"/>
          <w:sz w:val="24"/>
          <w:szCs w:val="24"/>
          <w:vertAlign w:val="superscript"/>
        </w:rPr>
        <w:footnoteReference w:id="147"/>
      </w:r>
      <w:r>
        <w:rPr>
          <w:rFonts w:ascii="Times New Roman"/>
          <w:sz w:val="24"/>
          <w:szCs w:val="24"/>
        </w:rPr>
        <w:t xml:space="preserve">  Even if a woman with a disability can fully understand police or attorney questioning, if she uses alternative forms of communication her credibility as a witness may also be called into question by a judge or jury.</w:t>
      </w:r>
      <w:r>
        <w:rPr>
          <w:rFonts w:ascii="Times New Roman" w:eastAsia="Times New Roman" w:hAnsi="Times New Roman" w:cs="Times New Roman"/>
          <w:sz w:val="24"/>
          <w:szCs w:val="24"/>
          <w:vertAlign w:val="superscript"/>
        </w:rPr>
        <w:footnoteReference w:id="148"/>
      </w:r>
      <w:r>
        <w:rPr>
          <w:rFonts w:ascii="Times New Roman"/>
          <w:sz w:val="24"/>
          <w:szCs w:val="24"/>
        </w:rPr>
        <w:t xml:space="preserve">   </w:t>
      </w:r>
      <w:r>
        <w:rPr>
          <w:rFonts w:ascii="Times New Roman"/>
          <w:sz w:val="24"/>
          <w:szCs w:val="24"/>
        </w:rPr>
        <w:lastRenderedPageBreak/>
        <w:t>Jurors are expected to use their every day norms and judgments to decide which competing narrative presented by the parties or witnesses is most credible.</w:t>
      </w:r>
      <w:r>
        <w:rPr>
          <w:rFonts w:ascii="Times New Roman" w:eastAsia="Times New Roman" w:hAnsi="Times New Roman" w:cs="Times New Roman"/>
          <w:sz w:val="24"/>
          <w:szCs w:val="24"/>
          <w:vertAlign w:val="superscript"/>
        </w:rPr>
        <w:footnoteReference w:id="149"/>
      </w:r>
      <w:r>
        <w:rPr>
          <w:rFonts w:ascii="Times New Roman"/>
          <w:sz w:val="24"/>
          <w:szCs w:val="24"/>
        </w:rPr>
        <w:t xml:space="preserve">  When faced with a nonconventional witness, or a witness with a disability, the legal system often prompts jurors to question the veracity and credibility of that witness</w:t>
      </w:r>
      <w:r>
        <w:rPr>
          <w:rFonts w:hAnsi="Times New Roman"/>
          <w:sz w:val="24"/>
          <w:szCs w:val="24"/>
        </w:rPr>
        <w:t>’</w:t>
      </w:r>
      <w:r>
        <w:rPr>
          <w:rFonts w:hAnsi="Times New Roman"/>
          <w:sz w:val="24"/>
          <w:szCs w:val="24"/>
        </w:rPr>
        <w:t xml:space="preserve"> </w:t>
      </w:r>
      <w:r>
        <w:rPr>
          <w:rFonts w:ascii="Times New Roman"/>
          <w:sz w:val="24"/>
          <w:szCs w:val="24"/>
        </w:rPr>
        <w:t>testimony.</w:t>
      </w:r>
      <w:r>
        <w:rPr>
          <w:rFonts w:ascii="Times New Roman" w:eastAsia="Times New Roman" w:hAnsi="Times New Roman" w:cs="Times New Roman"/>
          <w:sz w:val="24"/>
          <w:szCs w:val="24"/>
          <w:vertAlign w:val="superscript"/>
        </w:rPr>
        <w:footnoteReference w:id="150"/>
      </w:r>
      <w:r>
        <w:rPr>
          <w:rFonts w:ascii="Times New Roman"/>
          <w:sz w:val="24"/>
          <w:szCs w:val="24"/>
        </w:rPr>
        <w:t xml:space="preserve">   In the same vein, a diagnosis of mental retardation can distort jurors</w:t>
      </w:r>
      <w:r>
        <w:rPr>
          <w:rFonts w:hAnsi="Times New Roman"/>
          <w:sz w:val="24"/>
          <w:szCs w:val="24"/>
        </w:rPr>
        <w:t>’</w:t>
      </w:r>
      <w:r>
        <w:rPr>
          <w:rFonts w:hAnsi="Times New Roman"/>
          <w:sz w:val="24"/>
          <w:szCs w:val="24"/>
        </w:rPr>
        <w:t xml:space="preserve"> </w:t>
      </w:r>
      <w:r>
        <w:rPr>
          <w:rFonts w:ascii="Times New Roman"/>
          <w:sz w:val="24"/>
          <w:szCs w:val="24"/>
        </w:rPr>
        <w:t>judgment, preventing them from objectively reviewing and considering the witness</w:t>
      </w:r>
      <w:r>
        <w:rPr>
          <w:rFonts w:hAnsi="Times New Roman"/>
          <w:sz w:val="24"/>
          <w:szCs w:val="24"/>
        </w:rPr>
        <w:t>’</w:t>
      </w:r>
      <w:r>
        <w:rPr>
          <w:rFonts w:ascii="Times New Roman"/>
          <w:sz w:val="24"/>
          <w:szCs w:val="24"/>
        </w:rPr>
        <w:t>s evidence or testimony.</w:t>
      </w:r>
      <w:r>
        <w:rPr>
          <w:rFonts w:ascii="Times New Roman" w:eastAsia="Times New Roman" w:hAnsi="Times New Roman" w:cs="Times New Roman"/>
          <w:sz w:val="24"/>
          <w:szCs w:val="24"/>
          <w:vertAlign w:val="superscript"/>
        </w:rPr>
        <w:footnoteReference w:id="151"/>
      </w:r>
      <w:r>
        <w:rPr>
          <w:rFonts w:ascii="Times New Roman"/>
          <w:sz w:val="24"/>
          <w:szCs w:val="24"/>
        </w:rPr>
        <w:t xml:space="preserve">  </w:t>
      </w:r>
    </w:p>
    <w:p w14:paraId="394B0409" w14:textId="77777777" w:rsidR="000417EC" w:rsidRDefault="00A67F2E" w:rsidP="00A67F2E">
      <w:pPr>
        <w:jc w:val="center"/>
        <w:rPr>
          <w:rFonts w:cs="Times New Roman"/>
          <w:b/>
          <w:sz w:val="24"/>
        </w:rPr>
      </w:pPr>
      <w:r>
        <w:rPr>
          <w:rFonts w:cs="Times New Roman"/>
          <w:b/>
          <w:sz w:val="24"/>
        </w:rPr>
        <w:t>***</w:t>
      </w:r>
    </w:p>
    <w:p w14:paraId="0DE6B0A1" w14:textId="77777777" w:rsidR="00A67F2E" w:rsidRDefault="00A67F2E" w:rsidP="00A67F2E">
      <w:pPr>
        <w:ind w:right="-360"/>
        <w:rPr>
          <w:sz w:val="24"/>
        </w:rPr>
      </w:pPr>
      <w:r w:rsidRPr="00033DF9">
        <w:rPr>
          <w:sz w:val="24"/>
        </w:rPr>
        <w:t xml:space="preserve">Thank you for this opportunity to provide </w:t>
      </w:r>
      <w:r>
        <w:rPr>
          <w:sz w:val="24"/>
        </w:rPr>
        <w:t>information regarding the right to health and safety of women with disabilities in the U.S.</w:t>
      </w:r>
      <w:r w:rsidRPr="00033DF9">
        <w:rPr>
          <w:sz w:val="24"/>
        </w:rPr>
        <w:t xml:space="preserve"> </w:t>
      </w:r>
      <w:r>
        <w:rPr>
          <w:sz w:val="24"/>
        </w:rPr>
        <w:t>P</w:t>
      </w:r>
      <w:r w:rsidRPr="00033DF9">
        <w:rPr>
          <w:sz w:val="24"/>
        </w:rPr>
        <w:t>lease do not hesitate to contact us</w:t>
      </w:r>
      <w:r>
        <w:rPr>
          <w:sz w:val="24"/>
        </w:rPr>
        <w:t xml:space="preserve"> at the emails below or by telephone (+1-202-630-3818)</w:t>
      </w:r>
      <w:r w:rsidRPr="00033DF9">
        <w:rPr>
          <w:sz w:val="24"/>
        </w:rPr>
        <w:t xml:space="preserve"> should you have any questions or require additional information on any of the comments addressed herein.</w:t>
      </w:r>
    </w:p>
    <w:p w14:paraId="6612BE6B" w14:textId="77777777" w:rsidR="00A67F2E" w:rsidRDefault="00A67F2E" w:rsidP="00A67F2E">
      <w:pPr>
        <w:ind w:right="-360"/>
        <w:rPr>
          <w:sz w:val="24"/>
        </w:rPr>
      </w:pPr>
      <w:r>
        <w:rPr>
          <w:sz w:val="24"/>
        </w:rPr>
        <w:t>Sincerely,</w:t>
      </w:r>
    </w:p>
    <w:p w14:paraId="781FF5F8" w14:textId="77777777" w:rsidR="00A67F2E" w:rsidRDefault="00A67F2E" w:rsidP="00A67F2E">
      <w:pPr>
        <w:spacing w:after="0"/>
        <w:ind w:right="-360"/>
        <w:rPr>
          <w:sz w:val="24"/>
        </w:rPr>
      </w:pPr>
      <w:r>
        <w:rPr>
          <w:sz w:val="24"/>
        </w:rPr>
        <w:t>Stephanie Ortoleva, Esq.</w:t>
      </w:r>
      <w:r>
        <w:rPr>
          <w:sz w:val="24"/>
        </w:rPr>
        <w:tab/>
      </w:r>
      <w:r>
        <w:rPr>
          <w:sz w:val="24"/>
        </w:rPr>
        <w:tab/>
      </w:r>
      <w:r>
        <w:rPr>
          <w:sz w:val="24"/>
        </w:rPr>
        <w:tab/>
      </w:r>
    </w:p>
    <w:p w14:paraId="7D2C28E5" w14:textId="77777777" w:rsidR="00A67F2E" w:rsidRDefault="00A67F2E" w:rsidP="00A67F2E">
      <w:pPr>
        <w:spacing w:after="0"/>
        <w:rPr>
          <w:sz w:val="24"/>
        </w:rPr>
      </w:pPr>
      <w:r>
        <w:rPr>
          <w:sz w:val="24"/>
        </w:rPr>
        <w:t>President</w:t>
      </w:r>
      <w:r w:rsidR="00DD3092">
        <w:rPr>
          <w:sz w:val="24"/>
        </w:rPr>
        <w:t>, WEI</w:t>
      </w:r>
      <w:r>
        <w:rPr>
          <w:sz w:val="24"/>
        </w:rPr>
        <w:tab/>
      </w:r>
      <w:r>
        <w:rPr>
          <w:sz w:val="24"/>
        </w:rPr>
        <w:tab/>
      </w:r>
      <w:r>
        <w:rPr>
          <w:sz w:val="24"/>
        </w:rPr>
        <w:tab/>
      </w:r>
      <w:r>
        <w:rPr>
          <w:sz w:val="24"/>
        </w:rPr>
        <w:tab/>
      </w:r>
      <w:r>
        <w:rPr>
          <w:sz w:val="24"/>
        </w:rPr>
        <w:tab/>
      </w:r>
    </w:p>
    <w:p w14:paraId="2229D87F" w14:textId="77777777" w:rsidR="00A67F2E" w:rsidRPr="00A67F2E" w:rsidRDefault="00882B7E" w:rsidP="00A67F2E">
      <w:pPr>
        <w:spacing w:after="0"/>
        <w:ind w:right="-360"/>
        <w:rPr>
          <w:sz w:val="24"/>
        </w:rPr>
      </w:pPr>
      <w:hyperlink r:id="rId8" w:history="1">
        <w:r w:rsidR="00A67F2E" w:rsidRPr="008B42E6">
          <w:rPr>
            <w:rStyle w:val="Hyperlink"/>
            <w:sz w:val="24"/>
          </w:rPr>
          <w:t>President@WomenEnabled.org</w:t>
        </w:r>
      </w:hyperlink>
      <w:r w:rsidR="00A67F2E">
        <w:rPr>
          <w:sz w:val="24"/>
        </w:rPr>
        <w:tab/>
      </w:r>
      <w:r w:rsidR="00A67F2E">
        <w:rPr>
          <w:sz w:val="24"/>
        </w:rPr>
        <w:tab/>
        <w:t xml:space="preserve"> </w:t>
      </w:r>
    </w:p>
    <w:p w14:paraId="3A634AFE" w14:textId="77777777" w:rsidR="00B92747" w:rsidRDefault="00B92747" w:rsidP="00A67F2E">
      <w:pPr>
        <w:spacing w:after="0"/>
        <w:rPr>
          <w:rFonts w:cs="Times New Roman"/>
          <w:sz w:val="24"/>
        </w:rPr>
      </w:pPr>
    </w:p>
    <w:p w14:paraId="0E40B75C" w14:textId="77777777" w:rsidR="00A67F2E" w:rsidRDefault="00A67F2E" w:rsidP="00A67F2E">
      <w:pPr>
        <w:spacing w:after="0"/>
        <w:rPr>
          <w:rFonts w:cs="Times New Roman"/>
          <w:sz w:val="24"/>
        </w:rPr>
      </w:pPr>
      <w:r>
        <w:rPr>
          <w:rFonts w:cs="Times New Roman"/>
          <w:sz w:val="24"/>
        </w:rPr>
        <w:t>Suzannah Phillips</w:t>
      </w:r>
    </w:p>
    <w:p w14:paraId="63C70A07" w14:textId="77777777" w:rsidR="00A67F2E" w:rsidRDefault="00A67F2E" w:rsidP="00A67F2E">
      <w:pPr>
        <w:spacing w:after="0"/>
        <w:rPr>
          <w:rFonts w:cs="Times New Roman"/>
          <w:sz w:val="24"/>
        </w:rPr>
      </w:pPr>
      <w:r>
        <w:rPr>
          <w:rFonts w:cs="Times New Roman"/>
          <w:sz w:val="24"/>
        </w:rPr>
        <w:t>Legal Advisor</w:t>
      </w:r>
      <w:r w:rsidR="00DD3092">
        <w:rPr>
          <w:rFonts w:cs="Times New Roman"/>
          <w:sz w:val="24"/>
        </w:rPr>
        <w:t>, WEI</w:t>
      </w:r>
    </w:p>
    <w:p w14:paraId="65D8A4ED" w14:textId="77777777" w:rsidR="00A67F2E" w:rsidRDefault="00882B7E" w:rsidP="00A67F2E">
      <w:pPr>
        <w:spacing w:after="0"/>
        <w:rPr>
          <w:rStyle w:val="Hyperlink"/>
          <w:sz w:val="24"/>
        </w:rPr>
      </w:pPr>
      <w:hyperlink r:id="rId9" w:history="1">
        <w:r w:rsidR="00A67F2E" w:rsidRPr="008B42E6">
          <w:rPr>
            <w:rStyle w:val="Hyperlink"/>
            <w:sz w:val="24"/>
          </w:rPr>
          <w:t>LegalAdvisor@WomenEnabled.org</w:t>
        </w:r>
      </w:hyperlink>
    </w:p>
    <w:p w14:paraId="433C1800" w14:textId="77777777" w:rsidR="00A67F2E" w:rsidRDefault="00A67F2E" w:rsidP="00A67F2E">
      <w:pPr>
        <w:spacing w:after="0"/>
        <w:rPr>
          <w:rStyle w:val="Hyperlink"/>
          <w:sz w:val="24"/>
        </w:rPr>
      </w:pPr>
    </w:p>
    <w:p w14:paraId="73719429" w14:textId="77777777" w:rsidR="00A67F2E" w:rsidRDefault="00A67F2E" w:rsidP="00A67F2E">
      <w:pPr>
        <w:spacing w:after="0"/>
        <w:rPr>
          <w:rStyle w:val="Hyperlink"/>
          <w:color w:val="auto"/>
          <w:sz w:val="24"/>
          <w:u w:val="none"/>
        </w:rPr>
      </w:pPr>
      <w:r>
        <w:rPr>
          <w:rStyle w:val="Hyperlink"/>
          <w:color w:val="auto"/>
          <w:sz w:val="24"/>
          <w:u w:val="none"/>
        </w:rPr>
        <w:t>Milanoi K</w:t>
      </w:r>
      <w:r w:rsidRPr="00A67F2E">
        <w:rPr>
          <w:rStyle w:val="Hyperlink"/>
          <w:color w:val="auto"/>
          <w:sz w:val="24"/>
          <w:u w:val="none"/>
        </w:rPr>
        <w:t>oiyiet</w:t>
      </w:r>
    </w:p>
    <w:p w14:paraId="674DD2C4" w14:textId="77777777" w:rsidR="00A67F2E" w:rsidRDefault="00A67F2E" w:rsidP="00A67F2E">
      <w:pPr>
        <w:spacing w:after="0"/>
        <w:rPr>
          <w:rStyle w:val="Hyperlink"/>
          <w:color w:val="auto"/>
          <w:sz w:val="24"/>
          <w:u w:val="none"/>
        </w:rPr>
      </w:pPr>
      <w:r>
        <w:rPr>
          <w:rStyle w:val="Hyperlink"/>
          <w:color w:val="auto"/>
          <w:sz w:val="24"/>
          <w:u w:val="none"/>
        </w:rPr>
        <w:t>Legal Intern</w:t>
      </w:r>
      <w:r w:rsidR="00DD3092">
        <w:rPr>
          <w:rStyle w:val="Hyperlink"/>
          <w:color w:val="auto"/>
          <w:sz w:val="24"/>
          <w:u w:val="none"/>
        </w:rPr>
        <w:t>, WEI</w:t>
      </w:r>
    </w:p>
    <w:p w14:paraId="2F9B9C5F" w14:textId="77777777" w:rsidR="00A67F2E" w:rsidRPr="00A67F2E" w:rsidRDefault="00882B7E" w:rsidP="00A67F2E">
      <w:pPr>
        <w:rPr>
          <w:rFonts w:eastAsia="Times New Roman" w:cs="Times New Roman"/>
          <w:sz w:val="24"/>
        </w:rPr>
      </w:pPr>
      <w:hyperlink r:id="rId10" w:history="1">
        <w:r w:rsidR="00A67F2E" w:rsidRPr="00A67F2E">
          <w:rPr>
            <w:rStyle w:val="Hyperlink"/>
            <w:rFonts w:eastAsia="Times New Roman" w:cs="Times New Roman"/>
            <w:sz w:val="24"/>
            <w:shd w:val="clear" w:color="auto" w:fill="FFFFFF"/>
          </w:rPr>
          <w:t>keverlynmilanoi@gmail.com</w:t>
        </w:r>
      </w:hyperlink>
    </w:p>
    <w:p w14:paraId="7FCAA2F4" w14:textId="77777777" w:rsidR="00A67F2E" w:rsidRPr="00A67F2E" w:rsidRDefault="00A67F2E" w:rsidP="00A67F2E">
      <w:pPr>
        <w:spacing w:after="0"/>
        <w:rPr>
          <w:rFonts w:cs="Times New Roman"/>
          <w:b/>
          <w:sz w:val="24"/>
        </w:rPr>
      </w:pPr>
    </w:p>
    <w:p w14:paraId="1BDA5E8F" w14:textId="77777777" w:rsidR="00A67F2E" w:rsidRDefault="00A67F2E" w:rsidP="00A67F2E">
      <w:pPr>
        <w:jc w:val="center"/>
        <w:rPr>
          <w:rFonts w:cs="Times New Roman"/>
          <w:b/>
          <w:sz w:val="24"/>
        </w:rPr>
      </w:pPr>
    </w:p>
    <w:p w14:paraId="236A476D" w14:textId="77777777" w:rsidR="000417EC" w:rsidRDefault="000417EC" w:rsidP="000417EC">
      <w:pPr>
        <w:rPr>
          <w:rFonts w:cs="Times New Roman"/>
          <w:b/>
          <w:sz w:val="24"/>
        </w:rPr>
        <w:sectPr w:rsidR="000417EC" w:rsidSect="004F5262">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titlePg/>
        </w:sectPr>
      </w:pPr>
    </w:p>
    <w:p w14:paraId="3F42F245" w14:textId="77777777" w:rsidR="000417EC" w:rsidRDefault="000417EC" w:rsidP="000417EC">
      <w:pPr>
        <w:rPr>
          <w:rFonts w:cs="Times New Roman"/>
          <w:b/>
          <w:sz w:val="24"/>
        </w:rPr>
      </w:pPr>
      <w:r>
        <w:rPr>
          <w:rFonts w:cs="Times New Roman"/>
          <w:b/>
          <w:sz w:val="24"/>
        </w:rPr>
        <w:lastRenderedPageBreak/>
        <w:t xml:space="preserve">Annex I: U.S. </w:t>
      </w:r>
      <w:r w:rsidR="00173D7C">
        <w:rPr>
          <w:rFonts w:cs="Times New Roman"/>
          <w:b/>
          <w:sz w:val="24"/>
        </w:rPr>
        <w:t>Judicial Decisions Regarding</w:t>
      </w:r>
      <w:r>
        <w:rPr>
          <w:rFonts w:cs="Times New Roman"/>
          <w:b/>
          <w:sz w:val="24"/>
        </w:rPr>
        <w:t xml:space="preserve"> Sterilization of Women with Disabilities</w:t>
      </w:r>
    </w:p>
    <w:p w14:paraId="06551A76" w14:textId="77777777" w:rsidR="000417EC" w:rsidRPr="000133F8" w:rsidRDefault="000417EC" w:rsidP="000417EC">
      <w:pPr>
        <w:pStyle w:val="ListParagraph"/>
        <w:widowControl w:val="0"/>
        <w:tabs>
          <w:tab w:val="left" w:pos="360"/>
        </w:tabs>
        <w:ind w:left="0"/>
        <w:jc w:val="both"/>
        <w:rPr>
          <w:rFonts w:eastAsia="Times New Roman" w:cs="Times New Roman"/>
          <w:sz w:val="24"/>
        </w:rPr>
      </w:pPr>
      <w:r w:rsidRPr="000133F8">
        <w:rPr>
          <w:rFonts w:cs="Times New Roman"/>
          <w:sz w:val="24"/>
        </w:rPr>
        <w:t>As recently as the early part of the twentieth century, many states in the United States enacted compulsory sterilization laws in an attempt to lessen the impact and cost of care for those with disabilities.</w:t>
      </w:r>
      <w:r w:rsidRPr="000133F8">
        <w:rPr>
          <w:rFonts w:eastAsia="Times New Roman" w:cs="Times New Roman"/>
          <w:sz w:val="24"/>
          <w:vertAlign w:val="superscript"/>
        </w:rPr>
        <w:footnoteReference w:id="152"/>
      </w:r>
      <w:r w:rsidRPr="000133F8">
        <w:rPr>
          <w:rFonts w:cs="Times New Roman"/>
          <w:sz w:val="24"/>
        </w:rPr>
        <w:t xml:space="preserve">  More recently, the U.S. Supreme Court in </w:t>
      </w:r>
      <w:r w:rsidRPr="000133F8">
        <w:rPr>
          <w:rFonts w:cs="Times New Roman"/>
          <w:i/>
          <w:iCs/>
          <w:sz w:val="24"/>
        </w:rPr>
        <w:t>Griswold v. Connecticut</w:t>
      </w:r>
      <w:r w:rsidRPr="000417EC">
        <w:rPr>
          <w:rFonts w:eastAsia="Times New Roman" w:cs="Times New Roman"/>
          <w:iCs/>
          <w:sz w:val="24"/>
          <w:vertAlign w:val="superscript"/>
        </w:rPr>
        <w:footnoteReference w:id="153"/>
      </w:r>
      <w:r w:rsidRPr="000133F8">
        <w:rPr>
          <w:rFonts w:cs="Times New Roman"/>
          <w:sz w:val="24"/>
        </w:rPr>
        <w:t xml:space="preserve"> and </w:t>
      </w:r>
      <w:r w:rsidRPr="000133F8">
        <w:rPr>
          <w:rFonts w:cs="Times New Roman"/>
          <w:i/>
          <w:iCs/>
          <w:sz w:val="24"/>
        </w:rPr>
        <w:t>Eisenstadt v. Baird</w:t>
      </w:r>
      <w:r w:rsidRPr="000133F8">
        <w:rPr>
          <w:rFonts w:eastAsia="Times New Roman" w:cs="Times New Roman"/>
          <w:i/>
          <w:iCs/>
          <w:sz w:val="24"/>
          <w:vertAlign w:val="superscript"/>
        </w:rPr>
        <w:footnoteReference w:id="154"/>
      </w:r>
      <w:r w:rsidRPr="000133F8">
        <w:rPr>
          <w:rFonts w:cs="Times New Roman"/>
          <w:sz w:val="24"/>
        </w:rPr>
        <w:t xml:space="preserve"> began to recognize a right to </w:t>
      </w:r>
      <w:r>
        <w:rPr>
          <w:rFonts w:cs="Times New Roman"/>
          <w:sz w:val="24"/>
        </w:rPr>
        <w:t>access</w:t>
      </w:r>
      <w:r w:rsidRPr="000133F8">
        <w:rPr>
          <w:rFonts w:cs="Times New Roman"/>
          <w:sz w:val="24"/>
        </w:rPr>
        <w:t xml:space="preserve"> contraception that accompanies a fundamental right to procreate. However, the U.S. Supreme Court has yet to fully protect an express right to voluntary, consensual sterilization. As such, sterilization </w:t>
      </w:r>
      <w:r>
        <w:rPr>
          <w:rFonts w:cs="Times New Roman"/>
          <w:sz w:val="24"/>
        </w:rPr>
        <w:t>falls in a murky area</w:t>
      </w:r>
      <w:r w:rsidRPr="000133F8">
        <w:rPr>
          <w:rFonts w:cs="Times New Roman"/>
          <w:sz w:val="24"/>
        </w:rPr>
        <w:t xml:space="preserve"> between the right to </w:t>
      </w:r>
      <w:r>
        <w:rPr>
          <w:rFonts w:cs="Times New Roman"/>
          <w:sz w:val="24"/>
        </w:rPr>
        <w:t>contraceptive access</w:t>
      </w:r>
      <w:r w:rsidRPr="000133F8">
        <w:rPr>
          <w:rFonts w:cs="Times New Roman"/>
          <w:sz w:val="24"/>
        </w:rPr>
        <w:t xml:space="preserve"> and the right to procreate, and the</w:t>
      </w:r>
      <w:r>
        <w:rPr>
          <w:rFonts w:cs="Times New Roman"/>
          <w:sz w:val="24"/>
        </w:rPr>
        <w:t>re is no clear standard that addresses the</w:t>
      </w:r>
      <w:r w:rsidRPr="000133F8">
        <w:rPr>
          <w:rFonts w:cs="Times New Roman"/>
          <w:sz w:val="24"/>
        </w:rPr>
        <w:t xml:space="preserve"> level of competency needed to be able to choose between the two. </w:t>
      </w:r>
    </w:p>
    <w:p w14:paraId="09E4C8BC"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28F579B0" w14:textId="77777777" w:rsidR="000417EC" w:rsidRPr="000133F8" w:rsidRDefault="000417EC" w:rsidP="000417EC">
      <w:pPr>
        <w:pStyle w:val="ListParagraph"/>
        <w:widowControl w:val="0"/>
        <w:tabs>
          <w:tab w:val="left" w:pos="360"/>
        </w:tabs>
        <w:ind w:left="0"/>
        <w:jc w:val="both"/>
        <w:rPr>
          <w:rFonts w:eastAsia="Times New Roman" w:cs="Times New Roman"/>
          <w:sz w:val="24"/>
        </w:rPr>
      </w:pPr>
      <w:r w:rsidRPr="000133F8">
        <w:rPr>
          <w:rFonts w:cs="Times New Roman"/>
          <w:sz w:val="24"/>
        </w:rPr>
        <w:t>In the early 1980’s, numerous state claims arose whereby the parents or guardians of women and girls with mental and cognitive disabilities sought the appointment of a special guardian who would be authoriz</w:t>
      </w:r>
      <w:r>
        <w:rPr>
          <w:rFonts w:cs="Times New Roman"/>
          <w:sz w:val="24"/>
        </w:rPr>
        <w:t>ed to consent to sterilization.</w:t>
      </w:r>
    </w:p>
    <w:p w14:paraId="6C4A20EA"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72DD91E3" w14:textId="77777777" w:rsidR="000417EC" w:rsidRDefault="000417EC" w:rsidP="000417EC">
      <w:pPr>
        <w:pStyle w:val="ListParagraph"/>
        <w:widowControl w:val="0"/>
        <w:tabs>
          <w:tab w:val="left" w:pos="360"/>
        </w:tabs>
        <w:ind w:left="0"/>
        <w:jc w:val="both"/>
        <w:rPr>
          <w:rFonts w:cs="Times New Roman"/>
          <w:sz w:val="24"/>
        </w:rPr>
      </w:pPr>
      <w:r w:rsidRPr="000133F8">
        <w:rPr>
          <w:rFonts w:cs="Times New Roman"/>
          <w:sz w:val="24"/>
        </w:rPr>
        <w:t xml:space="preserve">The court cases in which a court denied nonconsensual sterilization of a woman with a disability are discussed as follows. In </w:t>
      </w:r>
      <w:r w:rsidRPr="000133F8">
        <w:rPr>
          <w:rFonts w:cs="Times New Roman"/>
          <w:i/>
          <w:iCs/>
          <w:sz w:val="24"/>
        </w:rPr>
        <w:t>Matter of Grady</w:t>
      </w:r>
      <w:r>
        <w:rPr>
          <w:rFonts w:cs="Times New Roman"/>
          <w:iCs/>
          <w:sz w:val="24"/>
        </w:rPr>
        <w:t>,</w:t>
      </w:r>
      <w:r w:rsidRPr="000417EC">
        <w:rPr>
          <w:rFonts w:eastAsia="Times New Roman" w:cs="Times New Roman"/>
          <w:iCs/>
          <w:sz w:val="24"/>
          <w:vertAlign w:val="superscript"/>
        </w:rPr>
        <w:footnoteReference w:id="155"/>
      </w:r>
      <w:r w:rsidRPr="000133F8">
        <w:rPr>
          <w:rFonts w:cs="Times New Roman"/>
          <w:sz w:val="24"/>
        </w:rPr>
        <w:t xml:space="preserve"> the parents of a non-institutionalized daughter requested a special guardian who could authorize sterilization by tubal ligation. In 1981, the Supreme Court of New Jersey determined that sterilization cannot be authorized without clear and convincing proof that sterilization is in the best interests of the individual whose health is at stake. The court must find that the individual “lacks capacity to make a decision about sterilization and that the incapacity is not likely to change in the foreseeable future.”</w:t>
      </w:r>
      <w:r w:rsidRPr="000133F8">
        <w:rPr>
          <w:rFonts w:eastAsia="Times New Roman" w:cs="Times New Roman"/>
          <w:sz w:val="24"/>
          <w:vertAlign w:val="superscript"/>
        </w:rPr>
        <w:footnoteReference w:id="156"/>
      </w:r>
      <w:r w:rsidRPr="000133F8">
        <w:rPr>
          <w:rFonts w:cs="Times New Roman"/>
          <w:sz w:val="24"/>
        </w:rPr>
        <w:t xml:space="preserve"> Further, the court must consider a set of factors relating to the best interests of the individual: </w:t>
      </w:r>
    </w:p>
    <w:p w14:paraId="3932AC6C"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680D87EB"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“The possibility that the incompetent person can become pregnant. There need be no showing that pregnancy is likely. The court can presume fertility if the medical device indicates normal development of sexual organs and the evidence does not otherwise raise doubts about fertility.</w:t>
      </w:r>
    </w:p>
    <w:p w14:paraId="6A2436A8"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possibility that the incompetent person will experience trauma or psychological damage if she becomes pregnant or gives birth, and, conversely, the possibility of trauma or psychological damage from the sterilization operation.  </w:t>
      </w:r>
    </w:p>
    <w:p w14:paraId="0A51C7A4"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likelihood that the individual will voluntarily engage in sexual activity or be exposed to situations where sexual intercourse is imposed upon her. </w:t>
      </w:r>
    </w:p>
    <w:p w14:paraId="7E6494AC"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lastRenderedPageBreak/>
        <w:t xml:space="preserve">The inability of the incompetent person to understand reproduction or contraception and the likely permanence of that inability. </w:t>
      </w:r>
    </w:p>
    <w:p w14:paraId="73A8903B"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feasibility and medical advisability of less drastic means of contraception, both at the present time and under foreseeable future circumstances. </w:t>
      </w:r>
    </w:p>
    <w:p w14:paraId="24B20A1E"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advisability of sterilization at the time of the application rather than in the future. While sterilization should not be postponed until unwanted pregnancy occurs, the court should be cautious not to authorize sterilization before it clearly has become an advisable procedure. </w:t>
      </w:r>
    </w:p>
    <w:p w14:paraId="5D3ADCEA"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ability of the incompetent person to care for a child, or the possibility that the incompetent person may at some future date be able to marry, and, with a spouse, care for a child. </w:t>
      </w:r>
    </w:p>
    <w:p w14:paraId="3639E9CE"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Evidence that scientific or medical advances may occur within the foreseeable future which will make possible either improvement of the individual’s condition or alternative and less drastic sterilization procedures. </w:t>
      </w:r>
    </w:p>
    <w:p w14:paraId="66CB53C8" w14:textId="77777777" w:rsidR="000417EC" w:rsidRPr="00C8489C"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A demonstration that the proponents of sterilization are seeking it in good faith and that their primary concern is for the best interests of the incompetent person rather than their own or the public’s convenience.”</w:t>
      </w:r>
      <w:r w:rsidRPr="000133F8">
        <w:rPr>
          <w:rFonts w:eastAsia="Times New Roman" w:cs="Times New Roman"/>
          <w:sz w:val="24"/>
          <w:vertAlign w:val="superscript"/>
        </w:rPr>
        <w:footnoteReference w:id="157"/>
      </w:r>
      <w:r w:rsidRPr="000133F8">
        <w:rPr>
          <w:rFonts w:cs="Times New Roman"/>
          <w:sz w:val="24"/>
        </w:rPr>
        <w:t xml:space="preserve"> </w:t>
      </w:r>
    </w:p>
    <w:p w14:paraId="215A1898"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concluding that the penultimate criterion is the best interests of the individual with disabilities, the court in </w:t>
      </w:r>
      <w:r w:rsidRPr="000133F8">
        <w:rPr>
          <w:rFonts w:ascii="Times New Roman" w:hAnsi="Times New Roman" w:cs="Times New Roman"/>
          <w:i/>
          <w:iCs/>
          <w:sz w:val="24"/>
          <w:szCs w:val="24"/>
        </w:rPr>
        <w:t>Matter of Grady</w:t>
      </w:r>
      <w:r w:rsidRPr="000133F8">
        <w:rPr>
          <w:rFonts w:ascii="Times New Roman" w:hAnsi="Times New Roman" w:cs="Times New Roman"/>
          <w:sz w:val="24"/>
          <w:szCs w:val="24"/>
        </w:rPr>
        <w:t xml:space="preserve"> determined that the parents were unable to demonstrate by clear and convincing evidence that sterilization would be in the daughter’s best interests under the set of factors outlined above.   </w:t>
      </w:r>
    </w:p>
    <w:p w14:paraId="186E3924"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1982, the parents of a thirteen year old girl with mental disabilities filed a petition to serve as her guardian in order to consent to her sterilization. In </w:t>
      </w:r>
      <w:r w:rsidRPr="000133F8">
        <w:rPr>
          <w:rFonts w:ascii="Times New Roman" w:hAnsi="Times New Roman" w:cs="Times New Roman"/>
          <w:i/>
          <w:iCs/>
          <w:sz w:val="24"/>
          <w:szCs w:val="24"/>
        </w:rPr>
        <w:t>Wentzel v. Montgomery General Hospital</w:t>
      </w:r>
      <w:r w:rsidRPr="000133F8">
        <w:rPr>
          <w:rFonts w:ascii="Times New Roman" w:hAnsi="Times New Roman" w:cs="Times New Roman"/>
          <w:sz w:val="24"/>
          <w:szCs w:val="24"/>
        </w:rPr>
        <w:t>,</w:t>
      </w:r>
      <w:r w:rsidRPr="000133F8">
        <w:rPr>
          <w:rFonts w:ascii="Times New Roman" w:eastAsia="Times New Roman" w:hAnsi="Times New Roman" w:cs="Times New Roman"/>
          <w:i/>
          <w:iCs/>
          <w:sz w:val="24"/>
          <w:szCs w:val="24"/>
          <w:vertAlign w:val="superscript"/>
        </w:rPr>
        <w:footnoteReference w:id="158"/>
      </w:r>
      <w:r w:rsidRPr="000133F8">
        <w:rPr>
          <w:rFonts w:ascii="Times New Roman" w:hAnsi="Times New Roman" w:cs="Times New Roman"/>
          <w:sz w:val="24"/>
          <w:szCs w:val="24"/>
        </w:rPr>
        <w:t xml:space="preserve"> the Court of Appeals of Maryland found that a hysterectomy was not in the child’s best interest or necessary for either her mental or her medical health. The court determined that the hysterectomy did not meet the “demonstrated need” formulation of measures taken to preserve life, physical health, or mental health.</w:t>
      </w:r>
      <w:r w:rsidRPr="000133F8">
        <w:rPr>
          <w:rFonts w:ascii="Times New Roman" w:eastAsia="Times New Roman" w:hAnsi="Times New Roman" w:cs="Times New Roman"/>
          <w:sz w:val="24"/>
          <w:szCs w:val="24"/>
          <w:vertAlign w:val="superscript"/>
        </w:rPr>
        <w:footnoteReference w:id="159"/>
      </w:r>
      <w:r w:rsidRPr="000133F8">
        <w:rPr>
          <w:rFonts w:ascii="Times New Roman" w:hAnsi="Times New Roman" w:cs="Times New Roman"/>
          <w:sz w:val="24"/>
          <w:szCs w:val="24"/>
        </w:rPr>
        <w:t xml:space="preserve"> Neither pain nor irritation during her menstrual cycle, which the daughter was not able to understand, nor the possibility of pregnancy were justification for such an extreme operation at such a young age. The court therefore appropriately denied the parent’s petition based on the “age and present circumstances, the absence of any evidence, much less clear and convincing evidence of any medical necessity for the sterilization procedure at this time.”</w:t>
      </w:r>
      <w:r w:rsidRPr="000133F8">
        <w:rPr>
          <w:rFonts w:ascii="Times New Roman" w:eastAsia="Times New Roman" w:hAnsi="Times New Roman" w:cs="Times New Roman"/>
          <w:sz w:val="24"/>
          <w:szCs w:val="24"/>
          <w:vertAlign w:val="superscript"/>
        </w:rPr>
        <w:footnoteReference w:id="160"/>
      </w:r>
      <w:r w:rsidRPr="000133F8">
        <w:rPr>
          <w:rFonts w:ascii="Times New Roman" w:hAnsi="Times New Roman" w:cs="Times New Roman"/>
          <w:sz w:val="24"/>
          <w:szCs w:val="24"/>
        </w:rPr>
        <w:t xml:space="preserve"> </w:t>
      </w:r>
    </w:p>
    <w:p w14:paraId="5792DD36"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Similarly, in </w:t>
      </w:r>
      <w:r w:rsidRPr="000133F8">
        <w:rPr>
          <w:rFonts w:ascii="Times New Roman" w:hAnsi="Times New Roman" w:cs="Times New Roman"/>
          <w:i/>
          <w:iCs/>
          <w:sz w:val="24"/>
          <w:szCs w:val="24"/>
        </w:rPr>
        <w:t>Matter of Truesdell,</w:t>
      </w:r>
      <w:r w:rsidRPr="000133F8">
        <w:rPr>
          <w:rFonts w:ascii="Times New Roman" w:eastAsia="Times New Roman" w:hAnsi="Times New Roman" w:cs="Times New Roman"/>
          <w:i/>
          <w:iCs/>
          <w:sz w:val="24"/>
          <w:szCs w:val="24"/>
          <w:vertAlign w:val="superscript"/>
        </w:rPr>
        <w:footnoteReference w:id="161"/>
      </w:r>
      <w:r w:rsidRPr="000133F8">
        <w:rPr>
          <w:rFonts w:ascii="Times New Roman" w:hAnsi="Times New Roman" w:cs="Times New Roman"/>
          <w:sz w:val="24"/>
          <w:szCs w:val="24"/>
        </w:rPr>
        <w:t xml:space="preserve"> the Supreme Court of North Carolina in 1985 reaffirmed that the party p</w:t>
      </w:r>
      <w:r>
        <w:rPr>
          <w:rFonts w:ascii="Times New Roman" w:hAnsi="Times New Roman" w:cs="Times New Roman"/>
          <w:sz w:val="24"/>
          <w:szCs w:val="24"/>
        </w:rPr>
        <w:t>etitioning for an order author</w:t>
      </w:r>
      <w:r w:rsidRPr="000133F8">
        <w:rPr>
          <w:rFonts w:ascii="Times New Roman" w:hAnsi="Times New Roman" w:cs="Times New Roman"/>
          <w:sz w:val="24"/>
          <w:szCs w:val="24"/>
        </w:rPr>
        <w:t xml:space="preserve">izing consent for sterilization must prove by clear, strong, and convincing evidence that sterilization would be in the constitutional best interests of the individual. In this case, the court determined that the Mecklenburg County Department of Social </w:t>
      </w:r>
      <w:r w:rsidRPr="000133F8">
        <w:rPr>
          <w:rFonts w:ascii="Times New Roman" w:hAnsi="Times New Roman" w:cs="Times New Roman"/>
          <w:sz w:val="24"/>
          <w:szCs w:val="24"/>
        </w:rPr>
        <w:lastRenderedPageBreak/>
        <w:t>Services failed to provide sufficient evidence to demonstrate that sterilization was in the best interests of the eighteen year old female whose reproductive health was at stake. The woman was capable of procreation, did not demonstrate possible trauma, and there was no evidence that she was likely to engage in sexual activity that might lead to procreation.</w:t>
      </w:r>
      <w:r w:rsidRPr="000133F8">
        <w:rPr>
          <w:rFonts w:ascii="Times New Roman" w:eastAsia="Times New Roman" w:hAnsi="Times New Roman" w:cs="Times New Roman"/>
          <w:sz w:val="24"/>
          <w:szCs w:val="24"/>
          <w:vertAlign w:val="superscript"/>
        </w:rPr>
        <w:footnoteReference w:id="162"/>
      </w:r>
      <w:r w:rsidRPr="000133F8">
        <w:rPr>
          <w:rFonts w:ascii="Times New Roman" w:hAnsi="Times New Roman" w:cs="Times New Roman"/>
          <w:sz w:val="24"/>
          <w:szCs w:val="24"/>
        </w:rPr>
        <w:t xml:space="preserve"> Further, there was insufficient evidence to prove that she was “in imminent danger for her life or that her health is severely jeopardized if a hysterectomy is not immediately performed.”</w:t>
      </w:r>
      <w:r w:rsidRPr="000133F8">
        <w:rPr>
          <w:rFonts w:ascii="Times New Roman" w:eastAsia="Times New Roman" w:hAnsi="Times New Roman" w:cs="Times New Roman"/>
          <w:sz w:val="24"/>
          <w:szCs w:val="24"/>
          <w:vertAlign w:val="superscript"/>
        </w:rPr>
        <w:footnoteReference w:id="163"/>
      </w:r>
      <w:r w:rsidRPr="000133F8">
        <w:rPr>
          <w:rFonts w:ascii="Times New Roman" w:hAnsi="Times New Roman" w:cs="Times New Roman"/>
          <w:sz w:val="24"/>
          <w:szCs w:val="24"/>
        </w:rPr>
        <w:t xml:space="preserve"> Moreover, findings were inadequate to determine whether there were less drastic means of preventing contraception. Therefore, the Supreme Court of North Carolina denied the petition of the County.</w:t>
      </w:r>
    </w:p>
    <w:p w14:paraId="383D573B" w14:textId="77777777" w:rsidR="000417EC"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Also in 1985, the Supreme Court of California in </w:t>
      </w:r>
      <w:r w:rsidRPr="000133F8">
        <w:rPr>
          <w:rFonts w:ascii="Times New Roman" w:hAnsi="Times New Roman" w:cs="Times New Roman"/>
          <w:i/>
          <w:iCs/>
          <w:sz w:val="24"/>
          <w:szCs w:val="24"/>
        </w:rPr>
        <w:t>Conservatorship of Valerie N.</w:t>
      </w:r>
      <w:r w:rsidRPr="000133F8">
        <w:rPr>
          <w:rFonts w:ascii="Times New Roman" w:eastAsia="Times New Roman" w:hAnsi="Times New Roman" w:cs="Times New Roman"/>
          <w:sz w:val="24"/>
          <w:szCs w:val="24"/>
          <w:vertAlign w:val="superscript"/>
        </w:rPr>
        <w:footnoteReference w:id="164"/>
      </w:r>
      <w:r w:rsidRPr="000133F8">
        <w:rPr>
          <w:rFonts w:ascii="Times New Roman" w:hAnsi="Times New Roman" w:cs="Times New Roman"/>
          <w:sz w:val="24"/>
          <w:szCs w:val="24"/>
        </w:rPr>
        <w:t xml:space="preserve"> determined that the parents of an adult female with developmental disabilities were not entitled to have their daughter sterilized. No evidence was offered that the daughter was capable of conception; additionally, no evidence was offered outside of testimony by the immediate family and the family counselor that “alternative less intrusive methods of birth control are unavailable.”</w:t>
      </w:r>
      <w:r w:rsidRPr="000133F8">
        <w:rPr>
          <w:rFonts w:ascii="Times New Roman" w:eastAsia="Times New Roman" w:hAnsi="Times New Roman" w:cs="Times New Roman"/>
          <w:sz w:val="24"/>
          <w:szCs w:val="24"/>
          <w:vertAlign w:val="superscript"/>
        </w:rPr>
        <w:footnoteReference w:id="165"/>
      </w:r>
      <w:r w:rsidRPr="000133F8">
        <w:rPr>
          <w:rFonts w:ascii="Times New Roman" w:hAnsi="Times New Roman" w:cs="Times New Roman"/>
          <w:sz w:val="24"/>
          <w:szCs w:val="24"/>
        </w:rPr>
        <w:t xml:space="preserve"> Further, no evidence was proffered that she was sexually active. Therefore, the court determined that sterilization was not in the best interests of the adult daughter at that point in time. The court denied the petition without prejudice to a renewed application if appellants were able to later provide adequate supporting evidence of the need for sterilization.</w:t>
      </w:r>
      <w:r w:rsidRPr="000133F8">
        <w:rPr>
          <w:rFonts w:ascii="Times New Roman" w:eastAsia="Times New Roman" w:hAnsi="Times New Roman" w:cs="Times New Roman"/>
          <w:sz w:val="24"/>
          <w:szCs w:val="24"/>
          <w:vertAlign w:val="superscript"/>
        </w:rPr>
        <w:footnoteReference w:id="166"/>
      </w:r>
    </w:p>
    <w:p w14:paraId="24483A84" w14:textId="77777777" w:rsidR="000417EC" w:rsidRPr="00AE0CEE" w:rsidRDefault="000417EC" w:rsidP="000417EC">
      <w:pPr>
        <w:pStyle w:val="BodyA"/>
        <w:spacing w:after="200"/>
        <w:jc w:val="both"/>
        <w:rPr>
          <w:rFonts w:ascii="Times New Roman" w:eastAsia="Times New Roman Bold" w:hAnsi="Times New Roman" w:cs="Times New Roman"/>
          <w:sz w:val="24"/>
          <w:szCs w:val="24"/>
        </w:rPr>
      </w:pPr>
      <w:r w:rsidRPr="000133F8">
        <w:rPr>
          <w:rFonts w:ascii="Times New Roman" w:hAnsi="Times New Roman" w:cs="Times New Roman"/>
          <w:sz w:val="24"/>
          <w:szCs w:val="24"/>
        </w:rPr>
        <w:t>However, the court also determined that the state statute prohibiting sterilization of individuals under conservatorship or guardianship impermissibly deprives those individuals of their own privacy and liberty guaranteed under federal and state Constitutions. The court found that the California legislature’s “omission of any provi</w:t>
      </w:r>
      <w:r w:rsidR="00173D7C">
        <w:rPr>
          <w:rFonts w:ascii="Times New Roman" w:hAnsi="Times New Roman" w:cs="Times New Roman"/>
          <w:sz w:val="24"/>
          <w:szCs w:val="24"/>
        </w:rPr>
        <w:t>sion in other legislation autho</w:t>
      </w:r>
      <w:r w:rsidRPr="000133F8">
        <w:rPr>
          <w:rFonts w:ascii="Times New Roman" w:hAnsi="Times New Roman" w:cs="Times New Roman"/>
          <w:sz w:val="24"/>
          <w:szCs w:val="24"/>
        </w:rPr>
        <w:t>rizing sterilization of A Woman’s Story:  developmentally disabled persons… denied incompetent women the procreative choice that is recognized as a fundamental, constitutionally protected right of all other adult women.”</w:t>
      </w:r>
      <w:r w:rsidRPr="000133F8">
        <w:rPr>
          <w:rFonts w:ascii="Times New Roman" w:eastAsia="Times New Roman" w:hAnsi="Times New Roman" w:cs="Times New Roman"/>
          <w:sz w:val="24"/>
          <w:szCs w:val="24"/>
          <w:vertAlign w:val="superscript"/>
        </w:rPr>
        <w:footnoteReference w:id="167"/>
      </w:r>
      <w:r w:rsidRPr="000133F8">
        <w:rPr>
          <w:rFonts w:ascii="Times New Roman" w:hAnsi="Times New Roman" w:cs="Times New Roman"/>
          <w:sz w:val="24"/>
          <w:szCs w:val="24"/>
        </w:rPr>
        <w:t xml:space="preserve"> The court disagreed with the conservators in the case, who alleged that the interest of the state in safeguarding the right to not be sterilized superseded the interests of conservatees who are personally unable to consent to sterilization themselves.</w:t>
      </w:r>
      <w:r w:rsidRPr="000133F8">
        <w:rPr>
          <w:rFonts w:ascii="Times New Roman" w:eastAsia="Times New Roman" w:hAnsi="Times New Roman" w:cs="Times New Roman"/>
          <w:sz w:val="24"/>
          <w:szCs w:val="24"/>
          <w:vertAlign w:val="superscript"/>
        </w:rPr>
        <w:footnoteReference w:id="168"/>
      </w:r>
      <w:r w:rsidRPr="000133F8">
        <w:rPr>
          <w:rFonts w:ascii="Times New Roman" w:hAnsi="Times New Roman" w:cs="Times New Roman"/>
          <w:sz w:val="24"/>
          <w:szCs w:val="24"/>
        </w:rPr>
        <w:t xml:space="preserve"> After doing so, the Supreme Court of California determined that the state statute regarding sterilization was overbroad. </w:t>
      </w:r>
    </w:p>
    <w:p w14:paraId="01F9A9C2"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w:t>
      </w:r>
      <w:r w:rsidRPr="000133F8">
        <w:rPr>
          <w:rFonts w:ascii="Times New Roman" w:hAnsi="Times New Roman" w:cs="Times New Roman"/>
          <w:i/>
          <w:iCs/>
          <w:sz w:val="24"/>
          <w:szCs w:val="24"/>
        </w:rPr>
        <w:t>Matter of Romero</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69"/>
      </w:r>
      <w:r w:rsidRPr="000133F8">
        <w:rPr>
          <w:rFonts w:ascii="Times New Roman" w:hAnsi="Times New Roman" w:cs="Times New Roman"/>
          <w:sz w:val="24"/>
          <w:szCs w:val="24"/>
        </w:rPr>
        <w:t xml:space="preserve"> the Supreme Court of Colorado found in 1990 that the mother and guardian of a daughter with disabilities was not able to prove by clear and convincing evidence that her daughter was incompetent to grant or withhold consent to sterilization. An individual who is incompetent in certain areas is not necessarily precluded as incompetent in all decisions.</w:t>
      </w:r>
      <w:r w:rsidRPr="000133F8">
        <w:rPr>
          <w:rFonts w:ascii="Times New Roman" w:eastAsia="Times New Roman" w:hAnsi="Times New Roman" w:cs="Times New Roman"/>
          <w:sz w:val="24"/>
          <w:szCs w:val="24"/>
          <w:vertAlign w:val="superscript"/>
        </w:rPr>
        <w:footnoteReference w:id="170"/>
      </w:r>
      <w:r w:rsidRPr="000133F8">
        <w:rPr>
          <w:rFonts w:ascii="Times New Roman" w:hAnsi="Times New Roman" w:cs="Times New Roman"/>
          <w:sz w:val="24"/>
          <w:szCs w:val="24"/>
        </w:rPr>
        <w:t xml:space="preserve"> An individual should be considered competent in the context of sterilization if he or she “understands the nature of the district court’s proceedings, the relationship between sexual activity and reproduction and the consequences of the sterilization procedure.”</w:t>
      </w:r>
      <w:r w:rsidRPr="000133F8">
        <w:rPr>
          <w:rFonts w:ascii="Times New Roman" w:eastAsia="Times New Roman" w:hAnsi="Times New Roman" w:cs="Times New Roman"/>
          <w:sz w:val="24"/>
          <w:szCs w:val="24"/>
          <w:vertAlign w:val="superscript"/>
        </w:rPr>
        <w:footnoteReference w:id="171"/>
      </w:r>
      <w:r w:rsidRPr="000133F8">
        <w:rPr>
          <w:rFonts w:ascii="Times New Roman" w:hAnsi="Times New Roman" w:cs="Times New Roman"/>
          <w:sz w:val="24"/>
          <w:szCs w:val="24"/>
        </w:rPr>
        <w:t xml:space="preserve"> Given that the </w:t>
      </w:r>
      <w:r w:rsidRPr="000133F8">
        <w:rPr>
          <w:rFonts w:ascii="Times New Roman" w:hAnsi="Times New Roman" w:cs="Times New Roman"/>
          <w:sz w:val="24"/>
          <w:szCs w:val="24"/>
        </w:rPr>
        <w:lastRenderedPageBreak/>
        <w:t>individual, whose reproductive abilities were impacted, showed during testimony that she understood the meaning between sexual intercourse and pregnancy, the court found that there was not sufficient determination that she was incompetent. In doing so, the court made clear that its own role is “not to pass judgment upon the wisdom of [the adult woman’s] decision or the importance she assigns to potential risks and benefits…if [she] is competent to make a decision, she must remain free to do so.”</w:t>
      </w:r>
      <w:r w:rsidRPr="000133F8">
        <w:rPr>
          <w:rFonts w:ascii="Times New Roman" w:eastAsia="Times New Roman" w:hAnsi="Times New Roman" w:cs="Times New Roman"/>
          <w:sz w:val="24"/>
          <w:szCs w:val="24"/>
          <w:vertAlign w:val="superscript"/>
        </w:rPr>
        <w:footnoteReference w:id="172"/>
      </w:r>
      <w:r w:rsidRPr="000133F8">
        <w:rPr>
          <w:rFonts w:ascii="Times New Roman" w:hAnsi="Times New Roman" w:cs="Times New Roman"/>
          <w:sz w:val="24"/>
          <w:szCs w:val="24"/>
        </w:rPr>
        <w:t xml:space="preserve"> Thus, the sterilization order by the trial court was reversed.</w:t>
      </w:r>
      <w:r w:rsidRPr="000133F8">
        <w:rPr>
          <w:rFonts w:ascii="Times New Roman" w:eastAsia="Times New Roman" w:hAnsi="Times New Roman" w:cs="Times New Roman"/>
          <w:sz w:val="24"/>
          <w:szCs w:val="24"/>
          <w:vertAlign w:val="superscript"/>
        </w:rPr>
        <w:footnoteReference w:id="173"/>
      </w:r>
      <w:r w:rsidRPr="000133F8">
        <w:rPr>
          <w:rFonts w:ascii="Times New Roman" w:hAnsi="Times New Roman" w:cs="Times New Roman"/>
          <w:sz w:val="24"/>
          <w:szCs w:val="24"/>
        </w:rPr>
        <w:t xml:space="preserve"> </w:t>
      </w:r>
    </w:p>
    <w:p w14:paraId="61F215BF"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1981, the Supreme Court of Colorado in </w:t>
      </w:r>
      <w:r w:rsidRPr="000133F8">
        <w:rPr>
          <w:rFonts w:ascii="Times New Roman" w:hAnsi="Times New Roman" w:cs="Times New Roman"/>
          <w:i/>
          <w:iCs/>
          <w:sz w:val="24"/>
          <w:szCs w:val="24"/>
        </w:rPr>
        <w:t>Matter of A.W</w:t>
      </w:r>
      <w:r w:rsidRPr="000133F8">
        <w:rPr>
          <w:rFonts w:ascii="Times New Roman" w:eastAsia="Times New Roman" w:hAnsi="Times New Roman" w:cs="Times New Roman"/>
          <w:i/>
          <w:iCs/>
          <w:sz w:val="24"/>
          <w:szCs w:val="24"/>
          <w:vertAlign w:val="superscript"/>
        </w:rPr>
        <w:footnoteReference w:id="174"/>
      </w:r>
      <w:r w:rsidRPr="000133F8">
        <w:rPr>
          <w:rFonts w:ascii="Times New Roman" w:hAnsi="Times New Roman" w:cs="Times New Roman"/>
          <w:sz w:val="24"/>
          <w:szCs w:val="24"/>
        </w:rPr>
        <w:t xml:space="preserve"> determined that state statutes pertaining to the sterilization of individuals with mental disabilities did not address the sterilization of a minor, which should be treated under a separate analysis.  However, the court then determined that the court did have the authority to consider a petition to sterilize a minor with a mental disability and that it was under A.W.’s constitutional best interests to do so. This determination was made by the court with very little discussion of the factual, case-specific reasoning as to why it was in the best interests of the minor girl. </w:t>
      </w:r>
    </w:p>
    <w:p w14:paraId="1F3928EB"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Beginning in the mid-1990s, a </w:t>
      </w:r>
      <w:r>
        <w:rPr>
          <w:rFonts w:ascii="Times New Roman" w:hAnsi="Times New Roman" w:cs="Times New Roman"/>
          <w:sz w:val="24"/>
          <w:szCs w:val="24"/>
        </w:rPr>
        <w:t>series</w:t>
      </w:r>
      <w:r w:rsidRPr="000133F8">
        <w:rPr>
          <w:rFonts w:ascii="Times New Roman" w:hAnsi="Times New Roman" w:cs="Times New Roman"/>
          <w:sz w:val="24"/>
          <w:szCs w:val="24"/>
        </w:rPr>
        <w:t xml:space="preserve"> of claims were resolved in favor of a guardian, parent, or conservator who desired authority to consent to sterilization. In </w:t>
      </w:r>
      <w:r w:rsidRPr="000133F8">
        <w:rPr>
          <w:rFonts w:ascii="Times New Roman" w:hAnsi="Times New Roman" w:cs="Times New Roman"/>
          <w:i/>
          <w:iCs/>
          <w:sz w:val="24"/>
          <w:szCs w:val="24"/>
        </w:rPr>
        <w:t>Estate of C.W.</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75"/>
      </w:r>
      <w:r w:rsidRPr="000133F8">
        <w:rPr>
          <w:rFonts w:ascii="Times New Roman" w:hAnsi="Times New Roman" w:cs="Times New Roman"/>
          <w:sz w:val="24"/>
          <w:szCs w:val="24"/>
        </w:rPr>
        <w:t xml:space="preserve"> the court determined that the best interest of the daughter were for the mother to be appointed her guardian with the authority to consent to tubal ligation. In its holding, the court relied on a best interest determination as originally outlined in </w:t>
      </w:r>
      <w:r w:rsidRPr="000133F8">
        <w:rPr>
          <w:rFonts w:ascii="Times New Roman" w:hAnsi="Times New Roman" w:cs="Times New Roman"/>
          <w:i/>
          <w:iCs/>
          <w:sz w:val="24"/>
          <w:szCs w:val="24"/>
        </w:rPr>
        <w:t>Matter of Mildred J. Terwilliger</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76"/>
      </w:r>
      <w:r w:rsidRPr="000133F8">
        <w:rPr>
          <w:rFonts w:ascii="Times New Roman" w:hAnsi="Times New Roman" w:cs="Times New Roman"/>
          <w:sz w:val="24"/>
          <w:szCs w:val="24"/>
        </w:rPr>
        <w:t xml:space="preserve"> where in order to succeed in a request for authorization, sterilization must be “the only practicable means of contraception, i.e. all less drastic contraceptive methods, including supervision, education and training are unworkable and detailed medical testimony must show that the sterilization procedure requested is the least significant intrusion necessary to protect the interests of the individual.”</w:t>
      </w:r>
      <w:r w:rsidRPr="000133F8">
        <w:rPr>
          <w:rFonts w:ascii="Times New Roman" w:hAnsi="Times New Roman" w:cs="Times New Roman"/>
          <w:sz w:val="24"/>
          <w:szCs w:val="24"/>
          <w:vertAlign w:val="superscript"/>
        </w:rPr>
        <w:t xml:space="preserve"> </w:t>
      </w:r>
      <w:r w:rsidRPr="000133F8">
        <w:rPr>
          <w:rFonts w:ascii="Times New Roman" w:hAnsi="Times New Roman" w:cs="Times New Roman"/>
          <w:sz w:val="24"/>
          <w:szCs w:val="24"/>
        </w:rPr>
        <w:t>In this case, the Superior Court of Pennsylvania determined that the possibility of sexual activity and pregnancy did exist and that the alternative medical procedures would be more complicated and potentially less effective</w:t>
      </w:r>
      <w:r w:rsidRPr="000133F8">
        <w:rPr>
          <w:rFonts w:ascii="Times New Roman" w:eastAsia="Times New Roman" w:hAnsi="Times New Roman" w:cs="Times New Roman"/>
          <w:sz w:val="24"/>
          <w:szCs w:val="24"/>
          <w:vertAlign w:val="superscript"/>
        </w:rPr>
        <w:footnoteReference w:id="177"/>
      </w:r>
      <w:r w:rsidRPr="000133F8">
        <w:rPr>
          <w:rFonts w:ascii="Times New Roman" w:hAnsi="Times New Roman" w:cs="Times New Roman"/>
          <w:sz w:val="24"/>
          <w:szCs w:val="24"/>
        </w:rPr>
        <w:t xml:space="preserve">; therefore, the court concluded that the best interests standard required that a guardian be appointed with the authority to consent to a sterilization procedure. </w:t>
      </w:r>
    </w:p>
    <w:p w14:paraId="6EE37265"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2013, the Court of Appeals in California addressed the </w:t>
      </w:r>
      <w:r w:rsidRPr="000133F8">
        <w:rPr>
          <w:rFonts w:ascii="Times New Roman" w:hAnsi="Times New Roman" w:cs="Times New Roman"/>
          <w:i/>
          <w:iCs/>
          <w:sz w:val="24"/>
          <w:szCs w:val="24"/>
        </w:rPr>
        <w:t>Conservatorship of a Person in Estate of Maria B.,</w:t>
      </w:r>
      <w:r w:rsidRPr="000133F8">
        <w:rPr>
          <w:rFonts w:ascii="Times New Roman" w:eastAsia="Times New Roman" w:hAnsi="Times New Roman" w:cs="Times New Roman"/>
          <w:i/>
          <w:iCs/>
          <w:sz w:val="24"/>
          <w:szCs w:val="24"/>
          <w:vertAlign w:val="superscript"/>
        </w:rPr>
        <w:footnoteReference w:id="178"/>
      </w:r>
      <w:r w:rsidRPr="000133F8">
        <w:rPr>
          <w:rFonts w:ascii="Times New Roman" w:hAnsi="Times New Roman" w:cs="Times New Roman"/>
          <w:sz w:val="24"/>
          <w:szCs w:val="24"/>
        </w:rPr>
        <w:t xml:space="preserve"> where the mother of a woman with cognitive disabilities petitioned the trial court for an order authorizing herself to consent to a hysterectomy and oophorectomy on her daughter’s behalf. The trial court had found that there was a probability that the daughter’s current condition could pose a serious threat to her mental health and that she lacked the capacity to give her informed consent for the recommended treatment.</w:t>
      </w:r>
      <w:r w:rsidRPr="000133F8">
        <w:rPr>
          <w:rFonts w:ascii="Times New Roman" w:eastAsia="Times New Roman" w:hAnsi="Times New Roman" w:cs="Times New Roman"/>
          <w:sz w:val="24"/>
          <w:szCs w:val="24"/>
          <w:vertAlign w:val="superscript"/>
        </w:rPr>
        <w:footnoteReference w:id="179"/>
      </w:r>
      <w:r w:rsidRPr="000133F8">
        <w:rPr>
          <w:rFonts w:ascii="Times New Roman" w:hAnsi="Times New Roman" w:cs="Times New Roman"/>
          <w:sz w:val="24"/>
          <w:szCs w:val="24"/>
        </w:rPr>
        <w:t xml:space="preserve"> The California Court of Appeals upheld the clear and convincing evidence standard and determined that the “need for the </w:t>
      </w:r>
      <w:r w:rsidRPr="000133F8">
        <w:rPr>
          <w:rFonts w:ascii="Times New Roman" w:hAnsi="Times New Roman" w:cs="Times New Roman"/>
          <w:sz w:val="24"/>
          <w:szCs w:val="24"/>
        </w:rPr>
        <w:lastRenderedPageBreak/>
        <w:t>proposed hysterectomy and oophorectomy, and the consequences for Maria if she did not have the surgery amount to clear and convincing evidence” that support granting the petition.</w:t>
      </w:r>
      <w:r w:rsidRPr="000133F8">
        <w:rPr>
          <w:rFonts w:ascii="Times New Roman" w:eastAsia="Times New Roman" w:hAnsi="Times New Roman" w:cs="Times New Roman"/>
          <w:sz w:val="24"/>
          <w:szCs w:val="24"/>
          <w:vertAlign w:val="superscript"/>
        </w:rPr>
        <w:footnoteReference w:id="180"/>
      </w:r>
    </w:p>
    <w:p w14:paraId="26A88148"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There have also been several claims brought by women with mental disabilities against physicians and hospitals for past wrongful sterilization. In 1990, the Supreme Judicial Court of Maine found in </w:t>
      </w:r>
      <w:r w:rsidRPr="000133F8">
        <w:rPr>
          <w:rFonts w:ascii="Times New Roman" w:hAnsi="Times New Roman" w:cs="Times New Roman"/>
          <w:i/>
          <w:iCs/>
          <w:sz w:val="24"/>
          <w:szCs w:val="24"/>
        </w:rPr>
        <w:t>Chasse v. Mazerolle</w:t>
      </w:r>
      <w:r w:rsidRPr="000133F8">
        <w:rPr>
          <w:rFonts w:ascii="Times New Roman" w:eastAsia="Times New Roman" w:hAnsi="Times New Roman" w:cs="Times New Roman"/>
          <w:i/>
          <w:iCs/>
          <w:sz w:val="24"/>
          <w:szCs w:val="24"/>
          <w:vertAlign w:val="superscript"/>
        </w:rPr>
        <w:footnoteReference w:id="181"/>
      </w:r>
      <w:r w:rsidRPr="000133F8">
        <w:rPr>
          <w:rFonts w:ascii="Times New Roman" w:hAnsi="Times New Roman" w:cs="Times New Roman"/>
          <w:sz w:val="24"/>
          <w:szCs w:val="24"/>
        </w:rPr>
        <w:t xml:space="preserve"> that the physician had not established sufficient indication that the complainant possessed sufficient competence to “comprehend and exercise her legal rights.”</w:t>
      </w:r>
      <w:r w:rsidRPr="000133F8">
        <w:rPr>
          <w:rFonts w:ascii="Times New Roman" w:eastAsia="Times New Roman" w:hAnsi="Times New Roman" w:cs="Times New Roman"/>
          <w:sz w:val="24"/>
          <w:szCs w:val="24"/>
          <w:vertAlign w:val="superscript"/>
        </w:rPr>
        <w:footnoteReference w:id="182"/>
      </w:r>
      <w:r w:rsidRPr="000133F8">
        <w:rPr>
          <w:rFonts w:ascii="Times New Roman" w:hAnsi="Times New Roman" w:cs="Times New Roman"/>
          <w:sz w:val="24"/>
          <w:szCs w:val="24"/>
        </w:rPr>
        <w:t xml:space="preserve"> The physician had relied on the woman’s marriage and subsequent divorce as evidence of her competency, yet the court rejected this viewpoint and found that the physician did not adequately address all other considerations.</w:t>
      </w:r>
      <w:r w:rsidRPr="000133F8">
        <w:rPr>
          <w:rFonts w:ascii="Times New Roman" w:eastAsia="Times New Roman" w:hAnsi="Times New Roman" w:cs="Times New Roman"/>
          <w:sz w:val="24"/>
          <w:szCs w:val="24"/>
          <w:vertAlign w:val="superscript"/>
        </w:rPr>
        <w:footnoteReference w:id="183"/>
      </w:r>
      <w:r w:rsidRPr="000133F8">
        <w:rPr>
          <w:rFonts w:ascii="Times New Roman" w:hAnsi="Times New Roman" w:cs="Times New Roman"/>
          <w:sz w:val="24"/>
          <w:szCs w:val="24"/>
        </w:rPr>
        <w:t xml:space="preserve"> The Supreme Judicial Court of Maine concluded that a claim of wrongful sterilization was precluded from summary judgment due to material questions of fact as to whether or not nonconsensual sterilization was appropriate, and the case was remanded to determine the level of the patient’s competency. </w:t>
      </w:r>
    </w:p>
    <w:p w14:paraId="297472E9"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1997, the Third Circuit of the United States Court of Appeals addressed a claim brought by a woman with a mental disability and her husband in state court against the woman’s parents, the hospital, and several physicians.</w:t>
      </w:r>
      <w:r w:rsidRPr="000133F8">
        <w:rPr>
          <w:rFonts w:ascii="Times New Roman" w:eastAsia="Times New Roman" w:hAnsi="Times New Roman" w:cs="Times New Roman"/>
          <w:sz w:val="24"/>
          <w:szCs w:val="24"/>
          <w:vertAlign w:val="superscript"/>
        </w:rPr>
        <w:footnoteReference w:id="184"/>
      </w:r>
      <w:r w:rsidRPr="000133F8">
        <w:rPr>
          <w:rFonts w:ascii="Times New Roman" w:hAnsi="Times New Roman" w:cs="Times New Roman"/>
          <w:sz w:val="24"/>
          <w:szCs w:val="24"/>
        </w:rPr>
        <w:t xml:space="preserve"> The couple alleged their deprivation of their civil rights based on the nonconsensual sterilization of the woman when she was sixteen. The circuit court first found that a plaintiff’s status as a woman with mental disability placed her within a class entitled to protection under civil rights provisions of both 42 U.S.C. § 1985(3) and 42 U.S.C. § 1985.</w:t>
      </w:r>
      <w:r w:rsidRPr="000133F8">
        <w:rPr>
          <w:rFonts w:ascii="Times New Roman" w:eastAsia="Times New Roman" w:hAnsi="Times New Roman" w:cs="Times New Roman"/>
          <w:sz w:val="24"/>
          <w:szCs w:val="24"/>
          <w:vertAlign w:val="superscript"/>
        </w:rPr>
        <w:footnoteReference w:id="185"/>
      </w:r>
      <w:r w:rsidRPr="000133F8">
        <w:rPr>
          <w:rFonts w:ascii="Times New Roman" w:hAnsi="Times New Roman" w:cs="Times New Roman"/>
          <w:sz w:val="24"/>
          <w:szCs w:val="24"/>
        </w:rPr>
        <w:t xml:space="preserve"> The circuit court more broadly established that the that the mentally handicapped as a class are entitled to protection under civil rights laws, including § 1985(3), because [t]he fact that a person bears no responsibility for a handicap, combined with the pervasive discrimination practiced against the mentally retarded and the emerging rejection of this discrimination as incompatible with our ideals of equality convinces us that… an animus directed against the mentally retarded includes the elements of a class-based invidiously discriminatory motivation.</w:t>
      </w:r>
      <w:r w:rsidRPr="000133F8">
        <w:rPr>
          <w:rFonts w:ascii="Times New Roman" w:eastAsia="Times New Roman" w:hAnsi="Times New Roman" w:cs="Times New Roman"/>
          <w:sz w:val="24"/>
          <w:szCs w:val="24"/>
          <w:vertAlign w:val="superscript"/>
        </w:rPr>
        <w:footnoteReference w:id="186"/>
      </w:r>
    </w:p>
    <w:p w14:paraId="7369209E" w14:textId="77777777" w:rsidR="000417EC" w:rsidRDefault="000417EC" w:rsidP="000417EC">
      <w:pPr>
        <w:pStyle w:val="BodyA"/>
        <w:spacing w:after="200"/>
        <w:jc w:val="both"/>
        <w:rPr>
          <w:rFonts w:ascii="Times New Roman" w:hAnsi="Times New Roman" w:cs="Times New Roman"/>
          <w:sz w:val="24"/>
          <w:szCs w:val="24"/>
        </w:rPr>
      </w:pPr>
      <w:r w:rsidRPr="000133F8">
        <w:rPr>
          <w:rFonts w:ascii="Times New Roman" w:hAnsi="Times New Roman" w:cs="Times New Roman"/>
          <w:sz w:val="24"/>
          <w:szCs w:val="24"/>
        </w:rPr>
        <w:t>After remand and subsequent appeal, the Third Circuit found that a two-year statute of limitations claim for personal injury in Pennsylvania did not toll for the claims of a woman with a mental disability challenging a prior nonconsensual sterilization because she was “unable to appreciate the injury that was done to her when she was sterilized.”</w:t>
      </w:r>
      <w:r w:rsidRPr="000133F8">
        <w:rPr>
          <w:rFonts w:ascii="Times New Roman" w:eastAsia="Times New Roman" w:hAnsi="Times New Roman" w:cs="Times New Roman"/>
          <w:sz w:val="24"/>
          <w:szCs w:val="24"/>
          <w:vertAlign w:val="superscript"/>
        </w:rPr>
        <w:footnoteReference w:id="187"/>
      </w:r>
      <w:r w:rsidRPr="000133F8">
        <w:rPr>
          <w:rFonts w:ascii="Times New Roman" w:hAnsi="Times New Roman" w:cs="Times New Roman"/>
          <w:sz w:val="24"/>
          <w:szCs w:val="24"/>
        </w:rPr>
        <w:t xml:space="preserve"> </w:t>
      </w:r>
    </w:p>
    <w:p w14:paraId="231554A5" w14:textId="77777777" w:rsidR="006A6DE4" w:rsidRPr="000133F8" w:rsidRDefault="006A6DE4" w:rsidP="000417EC">
      <w:pPr>
        <w:pStyle w:val="BodyA"/>
        <w:spacing w:after="200"/>
        <w:jc w:val="both"/>
        <w:rPr>
          <w:rFonts w:ascii="Times New Roman" w:eastAsia="Times New Roman" w:hAnsi="Times New Roman" w:cs="Times New Roman"/>
          <w:sz w:val="24"/>
          <w:szCs w:val="24"/>
        </w:rPr>
      </w:pPr>
    </w:p>
    <w:p w14:paraId="045D128A" w14:textId="77777777" w:rsidR="000417EC" w:rsidRPr="000417EC" w:rsidRDefault="000417EC" w:rsidP="000417EC">
      <w:pPr>
        <w:jc w:val="both"/>
        <w:rPr>
          <w:rFonts w:cs="Times New Roman"/>
          <w:b/>
          <w:sz w:val="24"/>
        </w:rPr>
      </w:pPr>
    </w:p>
    <w:p w14:paraId="019CEE63" w14:textId="77777777" w:rsidR="00120395" w:rsidRPr="000133F8" w:rsidRDefault="00120395" w:rsidP="00AE0CEE">
      <w:pPr>
        <w:ind w:right="-360"/>
        <w:jc w:val="both"/>
        <w:rPr>
          <w:rFonts w:cs="Times New Roman"/>
          <w:sz w:val="24"/>
        </w:rPr>
      </w:pPr>
    </w:p>
    <w:sectPr w:rsidR="00120395" w:rsidRPr="000133F8" w:rsidSect="000417EC">
      <w:headerReference w:type="first" r:id="rId15"/>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7F81" w14:textId="77777777" w:rsidR="00882B7E" w:rsidRDefault="00882B7E" w:rsidP="00D91F8F">
      <w:pPr>
        <w:spacing w:after="0"/>
      </w:pPr>
      <w:r>
        <w:separator/>
      </w:r>
    </w:p>
  </w:endnote>
  <w:endnote w:type="continuationSeparator" w:id="0">
    <w:p w14:paraId="370632C7" w14:textId="77777777" w:rsidR="00882B7E" w:rsidRDefault="00882B7E" w:rsidP="00D91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2429" w14:textId="77777777" w:rsidR="0064077B" w:rsidRDefault="0064077B" w:rsidP="0030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C4263" w14:textId="77777777" w:rsidR="0064077B" w:rsidRDefault="0064077B" w:rsidP="00DD5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00D1" w14:textId="77777777" w:rsidR="0064077B" w:rsidRPr="00DD5BF4" w:rsidRDefault="0064077B" w:rsidP="0030736E">
    <w:pPr>
      <w:pStyle w:val="Footer"/>
      <w:framePr w:wrap="around" w:vAnchor="text" w:hAnchor="margin" w:xAlign="right" w:y="1"/>
      <w:rPr>
        <w:rStyle w:val="PageNumber"/>
        <w:sz w:val="24"/>
      </w:rPr>
    </w:pPr>
    <w:r w:rsidRPr="00DD5BF4">
      <w:rPr>
        <w:rStyle w:val="PageNumber"/>
        <w:sz w:val="24"/>
      </w:rPr>
      <w:fldChar w:fldCharType="begin"/>
    </w:r>
    <w:r w:rsidRPr="00DD5BF4">
      <w:rPr>
        <w:rStyle w:val="PageNumber"/>
        <w:sz w:val="24"/>
      </w:rPr>
      <w:instrText xml:space="preserve">PAGE  </w:instrText>
    </w:r>
    <w:r w:rsidRPr="00DD5BF4">
      <w:rPr>
        <w:rStyle w:val="PageNumber"/>
        <w:sz w:val="24"/>
      </w:rPr>
      <w:fldChar w:fldCharType="separate"/>
    </w:r>
    <w:r w:rsidR="00A04DC9">
      <w:rPr>
        <w:rStyle w:val="PageNumber"/>
        <w:noProof/>
        <w:sz w:val="24"/>
      </w:rPr>
      <w:t>4</w:t>
    </w:r>
    <w:r w:rsidRPr="00DD5BF4">
      <w:rPr>
        <w:rStyle w:val="PageNumber"/>
        <w:sz w:val="24"/>
      </w:rPr>
      <w:fldChar w:fldCharType="end"/>
    </w:r>
  </w:p>
  <w:p w14:paraId="1F5E2420" w14:textId="77777777" w:rsidR="0064077B" w:rsidRPr="00DD5BF4" w:rsidRDefault="0064077B" w:rsidP="00DD5BF4">
    <w:pPr>
      <w:pStyle w:val="Footer"/>
      <w:ind w:right="360"/>
      <w:rP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2B0B" w14:textId="77777777" w:rsidR="0064077B" w:rsidRPr="00B327AE" w:rsidRDefault="0064077B" w:rsidP="00DD5BF4">
    <w:pPr>
      <w:pStyle w:val="Footer"/>
      <w:jc w:val="right"/>
      <w:rPr>
        <w:sz w:val="24"/>
      </w:rPr>
    </w:pPr>
    <w:r w:rsidRPr="00B327AE">
      <w:rPr>
        <w:rStyle w:val="PageNumber"/>
        <w:sz w:val="24"/>
      </w:rPr>
      <w:fldChar w:fldCharType="begin"/>
    </w:r>
    <w:r w:rsidRPr="00B327AE">
      <w:rPr>
        <w:rStyle w:val="PageNumber"/>
        <w:sz w:val="24"/>
      </w:rPr>
      <w:instrText xml:space="preserve"> PAGE </w:instrText>
    </w:r>
    <w:r w:rsidRPr="00B327AE">
      <w:rPr>
        <w:rStyle w:val="PageNumber"/>
        <w:sz w:val="24"/>
      </w:rPr>
      <w:fldChar w:fldCharType="separate"/>
    </w:r>
    <w:r w:rsidR="00A04DC9">
      <w:rPr>
        <w:rStyle w:val="PageNumber"/>
        <w:noProof/>
        <w:sz w:val="24"/>
      </w:rPr>
      <w:t>18</w:t>
    </w:r>
    <w:r w:rsidRPr="00B327AE">
      <w:rPr>
        <w:rStyle w:val="PageNumbe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C59D" w14:textId="77777777" w:rsidR="00882B7E" w:rsidRDefault="00882B7E" w:rsidP="00D91F8F">
      <w:pPr>
        <w:spacing w:after="0"/>
      </w:pPr>
      <w:r>
        <w:separator/>
      </w:r>
    </w:p>
  </w:footnote>
  <w:footnote w:type="continuationSeparator" w:id="0">
    <w:p w14:paraId="23AE538A" w14:textId="77777777" w:rsidR="00882B7E" w:rsidRDefault="00882B7E" w:rsidP="00D91F8F">
      <w:pPr>
        <w:spacing w:after="0"/>
      </w:pPr>
      <w:r>
        <w:continuationSeparator/>
      </w:r>
    </w:p>
  </w:footnote>
  <w:footnote w:id="1">
    <w:p w14:paraId="7305F1AF" w14:textId="7254FBFA" w:rsidR="0064077B" w:rsidRPr="003F0DD1" w:rsidRDefault="0064077B" w:rsidP="003F0DD1">
      <w:pPr>
        <w:pStyle w:val="FootnoteText"/>
        <w:rPr>
          <w:rFonts w:cs="Times New Roman"/>
          <w:sz w:val="20"/>
          <w:szCs w:val="20"/>
        </w:rPr>
      </w:pPr>
      <w:r w:rsidRPr="003F0DD1">
        <w:rPr>
          <w:rStyle w:val="FootnoteReference"/>
          <w:rFonts w:cs="Times New Roman"/>
          <w:sz w:val="20"/>
          <w:szCs w:val="20"/>
        </w:rPr>
        <w:footnoteRef/>
      </w:r>
      <w:r w:rsidRPr="003F0DD1">
        <w:rPr>
          <w:rFonts w:cs="Times New Roman"/>
          <w:sz w:val="20"/>
          <w:szCs w:val="20"/>
        </w:rPr>
        <w:t xml:space="preserve"> For purposes of this submission, all references to “women with disabilities” should be understood to refer to girls, adolescents</w:t>
      </w:r>
      <w:r>
        <w:rPr>
          <w:rFonts w:cs="Times New Roman"/>
          <w:sz w:val="20"/>
          <w:szCs w:val="20"/>
        </w:rPr>
        <w:t>, young women</w:t>
      </w:r>
      <w:r w:rsidRPr="003F0DD1">
        <w:rPr>
          <w:rFonts w:cs="Times New Roman"/>
          <w:sz w:val="20"/>
          <w:szCs w:val="20"/>
        </w:rPr>
        <w:t xml:space="preserve">, and women. </w:t>
      </w:r>
    </w:p>
  </w:footnote>
  <w:footnote w:id="2">
    <w:p w14:paraId="4615C3C8" w14:textId="5638D28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mallCaps/>
          <w:sz w:val="20"/>
          <w:szCs w:val="20"/>
        </w:rPr>
        <w:t>U.S. Census Bureau</w:t>
      </w:r>
      <w:r>
        <w:rPr>
          <w:rFonts w:cs="Times New Roman"/>
          <w:sz w:val="20"/>
          <w:szCs w:val="20"/>
        </w:rPr>
        <w:t xml:space="preserve">, </w:t>
      </w:r>
      <w:r w:rsidRPr="003F0DD1">
        <w:rPr>
          <w:rFonts w:cs="Times New Roman"/>
          <w:i/>
          <w:iCs/>
          <w:sz w:val="20"/>
          <w:szCs w:val="20"/>
        </w:rPr>
        <w:t>Americans with Disabilities: 2010</w:t>
      </w:r>
      <w:r w:rsidRPr="003F0DD1">
        <w:rPr>
          <w:rFonts w:cs="Times New Roman"/>
          <w:sz w:val="20"/>
          <w:szCs w:val="20"/>
        </w:rPr>
        <w:t xml:space="preserve">, 1, 4 (2012), </w:t>
      </w:r>
      <w:hyperlink r:id="rId1" w:history="1">
        <w:r w:rsidRPr="003F0DD1">
          <w:rPr>
            <w:rStyle w:val="Hyperlink1"/>
            <w:rFonts w:cs="Times New Roman"/>
          </w:rPr>
          <w:t>www.census.gov/prod/2012pubs/p70-131.pdf</w:t>
        </w:r>
      </w:hyperlink>
      <w:r w:rsidRPr="003F0DD1">
        <w:rPr>
          <w:rFonts w:cs="Times New Roman"/>
          <w:sz w:val="20"/>
          <w:szCs w:val="20"/>
        </w:rPr>
        <w:t xml:space="preserve">. </w:t>
      </w:r>
    </w:p>
  </w:footnote>
  <w:footnote w:id="3">
    <w:p w14:paraId="4C049736" w14:textId="498BA66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mallCaps/>
          <w:sz w:val="20"/>
          <w:szCs w:val="20"/>
        </w:rPr>
        <w:t>U.S. Census Bureau</w:t>
      </w:r>
      <w:r>
        <w:rPr>
          <w:rFonts w:cs="Times New Roman"/>
          <w:i/>
          <w:iCs/>
          <w:sz w:val="20"/>
          <w:szCs w:val="20"/>
        </w:rPr>
        <w:t xml:space="preserve">, </w:t>
      </w:r>
      <w:r w:rsidRPr="003F0DD1">
        <w:rPr>
          <w:rFonts w:cs="Times New Roman"/>
          <w:i/>
          <w:iCs/>
          <w:sz w:val="20"/>
          <w:szCs w:val="20"/>
        </w:rPr>
        <w:t>Age-Adjusted and Unadjusted Disability Rates by Gender, Race, Hispanic Origin: 2005 and 201</w:t>
      </w:r>
      <w:r w:rsidRPr="003F0DD1">
        <w:rPr>
          <w:rFonts w:cs="Times New Roman"/>
          <w:sz w:val="20"/>
          <w:szCs w:val="20"/>
        </w:rPr>
        <w:t xml:space="preserve">0. </w:t>
      </w:r>
    </w:p>
  </w:footnote>
  <w:footnote w:id="4">
    <w:p w14:paraId="6729DE5D" w14:textId="77777777" w:rsidR="0064077B" w:rsidRPr="003F0DD1" w:rsidRDefault="0064077B" w:rsidP="003F0DD1">
      <w:pPr>
        <w:pStyle w:val="FootnoteText"/>
        <w:rPr>
          <w:rFonts w:cs="Times New Roman"/>
          <w:sz w:val="20"/>
          <w:szCs w:val="20"/>
        </w:rPr>
      </w:pPr>
      <w:r w:rsidRPr="003F0DD1">
        <w:rPr>
          <w:rStyle w:val="FootnoteReference"/>
          <w:rFonts w:cs="Times New Roman"/>
          <w:sz w:val="20"/>
          <w:szCs w:val="20"/>
        </w:rPr>
        <w:footnoteRef/>
      </w:r>
      <w:r w:rsidRPr="003F0DD1">
        <w:rPr>
          <w:rFonts w:cs="Times New Roman"/>
          <w:sz w:val="20"/>
          <w:szCs w:val="20"/>
        </w:rPr>
        <w:t xml:space="preserve"> Vienna Convention on the Law of Treaties, art. 18, May 23, 1969, 1155 U.N.T.S. 331, 8 I.L.M. 679 (</w:t>
      </w:r>
      <w:r w:rsidRPr="003F0DD1">
        <w:rPr>
          <w:rFonts w:cs="Times New Roman"/>
          <w:i/>
          <w:sz w:val="20"/>
          <w:szCs w:val="20"/>
        </w:rPr>
        <w:t>entered into force</w:t>
      </w:r>
      <w:r w:rsidRPr="003F0DD1">
        <w:rPr>
          <w:rFonts w:cs="Times New Roman"/>
          <w:sz w:val="20"/>
          <w:szCs w:val="20"/>
        </w:rPr>
        <w:t xml:space="preserve"> Jan 27, 1980).</w:t>
      </w:r>
    </w:p>
  </w:footnote>
  <w:footnote w:id="5">
    <w:p w14:paraId="4C447744" w14:textId="0C6BD3DD"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Convention on the Right of Persons with Disabilities (CRPD), art. 16, Dec. 13, 2006, U.N. Doc. A/RES/61/106 (</w:t>
      </w:r>
      <w:r w:rsidRPr="003F0DD1">
        <w:rPr>
          <w:rFonts w:eastAsia="Arial Unicode MS" w:cs="Times New Roman"/>
          <w:i/>
          <w:sz w:val="20"/>
          <w:szCs w:val="20"/>
        </w:rPr>
        <w:t>entered into force</w:t>
      </w:r>
      <w:r w:rsidRPr="003F0DD1">
        <w:rPr>
          <w:rFonts w:eastAsia="Arial Unicode MS" w:cs="Times New Roman"/>
          <w:sz w:val="20"/>
          <w:szCs w:val="20"/>
        </w:rPr>
        <w:t xml:space="preserve"> May 3, 2008).</w:t>
      </w:r>
    </w:p>
  </w:footnote>
  <w:footnote w:id="6">
    <w:p w14:paraId="79A0519A" w14:textId="0EC93396"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r w:rsidRPr="007A325B">
        <w:rPr>
          <w:rFonts w:eastAsia="Arial Unicode MS" w:cs="Times New Roman"/>
          <w:i/>
          <w:sz w:val="20"/>
          <w:szCs w:val="20"/>
        </w:rPr>
        <w:t>Id.</w:t>
      </w:r>
      <w:r w:rsidRPr="003F0DD1">
        <w:rPr>
          <w:rFonts w:eastAsia="Arial Unicode MS" w:cs="Times New Roman"/>
          <w:sz w:val="20"/>
          <w:szCs w:val="20"/>
        </w:rPr>
        <w:t>, art. 23.</w:t>
      </w:r>
    </w:p>
  </w:footnote>
  <w:footnote w:id="7">
    <w:p w14:paraId="16678259" w14:textId="5E9975E1"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r w:rsidRPr="007A325B">
        <w:rPr>
          <w:rFonts w:eastAsia="Arial Unicode MS" w:cs="Times New Roman"/>
          <w:i/>
          <w:sz w:val="20"/>
          <w:szCs w:val="20"/>
        </w:rPr>
        <w:t>Id.</w:t>
      </w:r>
      <w:r w:rsidRPr="003F0DD1">
        <w:rPr>
          <w:rFonts w:eastAsia="Arial Unicode MS" w:cs="Times New Roman"/>
          <w:sz w:val="20"/>
          <w:szCs w:val="20"/>
        </w:rPr>
        <w:t>, art. 25.</w:t>
      </w:r>
    </w:p>
  </w:footnote>
  <w:footnote w:id="8">
    <w:p w14:paraId="1C005E7C" w14:textId="24D7A52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t>
      </w:r>
      <w:r w:rsidRPr="003F0DD1">
        <w:rPr>
          <w:rFonts w:cs="Times New Roman"/>
          <w:i/>
          <w:iCs/>
          <w:sz w:val="20"/>
          <w:szCs w:val="20"/>
        </w:rPr>
        <w:t>Fourth Periodic Report: United States</w:t>
      </w:r>
      <w:r w:rsidRPr="003F0DD1">
        <w:rPr>
          <w:rFonts w:cs="Times New Roman"/>
          <w:sz w:val="20"/>
          <w:szCs w:val="20"/>
        </w:rPr>
        <w:t xml:space="preserve">, U.N. Doc. CCPR/C/USA/4 (Dec. 30, 2011); </w:t>
      </w:r>
      <w:r w:rsidRPr="003F0DD1">
        <w:rPr>
          <w:rFonts w:cs="Times New Roman"/>
          <w:i/>
          <w:iCs/>
          <w:sz w:val="20"/>
          <w:szCs w:val="20"/>
        </w:rPr>
        <w:t>Seventh to Ninth Periodic Reports of States Parties due in 2011: United States of America</w:t>
      </w:r>
      <w:r w:rsidRPr="003F0DD1">
        <w:rPr>
          <w:rFonts w:cs="Times New Roman"/>
          <w:sz w:val="20"/>
          <w:szCs w:val="20"/>
        </w:rPr>
        <w:t xml:space="preserve">, U.N. Doc. CERD/C/USA/7-9 (June 13, 2013). </w:t>
      </w:r>
    </w:p>
  </w:footnote>
  <w:footnote w:id="9">
    <w:p w14:paraId="55357FD5" w14:textId="77777777"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Americans with Disabilities Act (ADA) of 1990, 42 U.S.C. § 12181 et seq. (2008) [hereinafter ADA].</w:t>
      </w:r>
    </w:p>
  </w:footnote>
  <w:footnote w:id="10">
    <w:p w14:paraId="0075DE7B" w14:textId="7FE7070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sidRPr="003F0DD1">
        <w:rPr>
          <w:rFonts w:cs="Times New Roman"/>
          <w:sz w:val="20"/>
          <w:szCs w:val="20"/>
        </w:rPr>
        <w:t xml:space="preserve"> §27-16-1 et seq. (2013)). </w:t>
      </w:r>
    </w:p>
  </w:footnote>
  <w:footnote w:id="11">
    <w:p w14:paraId="44E4CED4" w14:textId="603332B8"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r>
        <w:rPr>
          <w:rFonts w:eastAsia="Arial Unicode MS" w:cs="Times New Roman"/>
          <w:sz w:val="20"/>
          <w:szCs w:val="20"/>
        </w:rPr>
        <w:t xml:space="preserve">ADA, </w:t>
      </w:r>
      <w:r>
        <w:rPr>
          <w:rFonts w:eastAsia="Arial Unicode MS" w:cs="Times New Roman"/>
          <w:i/>
          <w:sz w:val="20"/>
          <w:szCs w:val="20"/>
        </w:rPr>
        <w:t>supra</w:t>
      </w:r>
      <w:r>
        <w:rPr>
          <w:rFonts w:eastAsia="Arial Unicode MS" w:cs="Times New Roman"/>
          <w:sz w:val="20"/>
          <w:szCs w:val="20"/>
        </w:rPr>
        <w:t xml:space="preserve"> note 9</w:t>
      </w:r>
      <w:r w:rsidRPr="003F0DD1">
        <w:rPr>
          <w:rFonts w:eastAsia="Arial Unicode MS" w:cs="Times New Roman"/>
          <w:sz w:val="20"/>
          <w:szCs w:val="20"/>
        </w:rPr>
        <w:t>.</w:t>
      </w:r>
    </w:p>
  </w:footnote>
  <w:footnote w:id="12">
    <w:p w14:paraId="18DF730F" w14:textId="77777777"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Courts granting nonconsensual sterilization of females with disabilities are the following: </w:t>
      </w:r>
      <w:r w:rsidRPr="003F0DD1">
        <w:rPr>
          <w:rFonts w:eastAsia="Arial Unicode MS" w:cs="Times New Roman"/>
          <w:i/>
          <w:iCs/>
          <w:sz w:val="20"/>
          <w:szCs w:val="20"/>
        </w:rPr>
        <w:t>Matter of A.W.</w:t>
      </w:r>
      <w:r w:rsidRPr="003F0DD1">
        <w:rPr>
          <w:rFonts w:eastAsia="Arial Unicode MS" w:cs="Times New Roman"/>
          <w:sz w:val="20"/>
          <w:szCs w:val="20"/>
        </w:rPr>
        <w:t xml:space="preserve">, 637 P.2d 366 (Colo. 1981); </w:t>
      </w:r>
      <w:r w:rsidRPr="003F0DD1">
        <w:rPr>
          <w:rFonts w:eastAsia="Arial Unicode MS" w:cs="Times New Roman"/>
          <w:i/>
          <w:iCs/>
          <w:sz w:val="20"/>
          <w:szCs w:val="20"/>
        </w:rPr>
        <w:t>Estate of C.W.</w:t>
      </w:r>
      <w:r w:rsidRPr="003F0DD1">
        <w:rPr>
          <w:rFonts w:eastAsia="Arial Unicode MS" w:cs="Times New Roman"/>
          <w:sz w:val="20"/>
          <w:szCs w:val="20"/>
        </w:rPr>
        <w:t xml:space="preserve">, 640 A.2d 427 (Pa. Super. 1994); </w:t>
      </w:r>
      <w:r w:rsidRPr="003F0DD1">
        <w:rPr>
          <w:rFonts w:eastAsia="Arial Unicode MS" w:cs="Times New Roman"/>
          <w:i/>
          <w:iCs/>
          <w:sz w:val="20"/>
          <w:szCs w:val="20"/>
        </w:rPr>
        <w:t>Matter of Mildred J. Terwilliger,</w:t>
      </w:r>
      <w:r w:rsidRPr="003F0DD1">
        <w:rPr>
          <w:rFonts w:eastAsia="Arial Unicode MS" w:cs="Times New Roman"/>
          <w:sz w:val="20"/>
          <w:szCs w:val="20"/>
        </w:rPr>
        <w:t xml:space="preserve"> 304 A.2d 1376 (Pa. Super. 1982); </w:t>
      </w:r>
      <w:r w:rsidRPr="003F0DD1">
        <w:rPr>
          <w:rFonts w:eastAsia="Arial Unicode MS" w:cs="Times New Roman"/>
          <w:i/>
          <w:iCs/>
          <w:sz w:val="20"/>
          <w:szCs w:val="20"/>
        </w:rPr>
        <w:t xml:space="preserve">Conservatorship of Person and Estate of Maria B., </w:t>
      </w:r>
      <w:r w:rsidRPr="003F0DD1">
        <w:rPr>
          <w:rFonts w:eastAsia="Arial Unicode MS" w:cs="Times New Roman"/>
          <w:sz w:val="20"/>
          <w:szCs w:val="20"/>
        </w:rPr>
        <w:t xml:space="preserve">160 Cal. Rptr. 3d 269 (Cal. Ct. App. 2013). Courts denying nonconsensual sterilization of females with disabilities are the following: </w:t>
      </w:r>
      <w:r w:rsidRPr="003F0DD1">
        <w:rPr>
          <w:rFonts w:eastAsia="Arial Unicode MS" w:cs="Times New Roman"/>
          <w:i/>
          <w:iCs/>
          <w:sz w:val="20"/>
          <w:szCs w:val="20"/>
        </w:rPr>
        <w:t>Wentzel v. Montgomery General Hosp.</w:t>
      </w:r>
      <w:r w:rsidRPr="003F0DD1">
        <w:rPr>
          <w:rFonts w:eastAsia="Arial Unicode MS" w:cs="Times New Roman"/>
          <w:sz w:val="20"/>
          <w:szCs w:val="20"/>
        </w:rPr>
        <w:t xml:space="preserve">, 447 A.2d 1244 (Md. 1982); </w:t>
      </w:r>
      <w:r w:rsidRPr="003F0DD1">
        <w:rPr>
          <w:rFonts w:eastAsia="Arial Unicode MS" w:cs="Times New Roman"/>
          <w:i/>
          <w:iCs/>
          <w:sz w:val="20"/>
          <w:szCs w:val="20"/>
        </w:rPr>
        <w:t>Matter of Truesdell</w:t>
      </w:r>
      <w:r w:rsidRPr="003F0DD1">
        <w:rPr>
          <w:rFonts w:eastAsia="Arial Unicode MS" w:cs="Times New Roman"/>
          <w:sz w:val="20"/>
          <w:szCs w:val="20"/>
        </w:rPr>
        <w:t xml:space="preserve">, 329 S.E.2d 630, 636 (N.C. 1985); </w:t>
      </w:r>
      <w:r w:rsidRPr="003F0DD1">
        <w:rPr>
          <w:rFonts w:eastAsia="Arial Unicode MS" w:cs="Times New Roman"/>
          <w:i/>
          <w:iCs/>
          <w:sz w:val="20"/>
          <w:szCs w:val="20"/>
        </w:rPr>
        <w:t>Conservatorship of Valerie N.</w:t>
      </w:r>
      <w:r w:rsidRPr="003F0DD1">
        <w:rPr>
          <w:rFonts w:eastAsia="Arial Unicode MS" w:cs="Times New Roman"/>
          <w:sz w:val="20"/>
          <w:szCs w:val="20"/>
        </w:rPr>
        <w:t xml:space="preserve">, 40 Cal. 3d 143 (Cal. 1985); </w:t>
      </w:r>
      <w:r w:rsidRPr="003F0DD1">
        <w:rPr>
          <w:rFonts w:eastAsia="Arial Unicode MS" w:cs="Times New Roman"/>
          <w:i/>
          <w:iCs/>
          <w:sz w:val="20"/>
          <w:szCs w:val="20"/>
        </w:rPr>
        <w:t>Matter of Romero</w:t>
      </w:r>
      <w:r w:rsidRPr="003F0DD1">
        <w:rPr>
          <w:rFonts w:eastAsia="Arial Unicode MS" w:cs="Times New Roman"/>
          <w:sz w:val="20"/>
          <w:szCs w:val="20"/>
        </w:rPr>
        <w:t>, 790 P.2d 819 (Colo. 1990).</w:t>
      </w:r>
    </w:p>
  </w:footnote>
  <w:footnote w:id="13">
    <w:p w14:paraId="4F4DD5C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Rehabilitation Act of 1973, Pub. L. No. 93-112, 87 Stat. 355 (codified as amended in scattered sections of 15 U.S.C., 20 U.S.C., 29 U.S.C., 36 U.S.C., 41 U.S.C., and 42 U.S.C), § 504 (Sept. 26, 1973).</w:t>
      </w:r>
    </w:p>
  </w:footnote>
  <w:footnote w:id="14">
    <w:p w14:paraId="780FDAA8" w14:textId="6C3052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Access to Medical Care for Individuals with Mobility Disabilities</w:t>
      </w:r>
      <w:r w:rsidRPr="003F0DD1">
        <w:rPr>
          <w:rFonts w:cs="Times New Roman"/>
          <w:sz w:val="20"/>
          <w:szCs w:val="20"/>
        </w:rPr>
        <w:t>, Civil Rights Div., Disability Rights Section (July 2010).</w:t>
      </w:r>
    </w:p>
  </w:footnote>
  <w:footnote w:id="15">
    <w:p w14:paraId="13446049" w14:textId="730E15B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Social Security Act (as amende</w:t>
      </w:r>
      <w:r>
        <w:rPr>
          <w:rFonts w:cs="Times New Roman"/>
          <w:sz w:val="20"/>
          <w:szCs w:val="20"/>
        </w:rPr>
        <w:t>d 1989), 42 U.S.C. § 708 (2008)</w:t>
      </w:r>
      <w:r w:rsidRPr="003F0DD1">
        <w:rPr>
          <w:rFonts w:cs="Times New Roman"/>
          <w:sz w:val="20"/>
          <w:szCs w:val="20"/>
        </w:rPr>
        <w:t>; Public Health Service Act (as amended 19</w:t>
      </w:r>
      <w:r>
        <w:rPr>
          <w:rFonts w:cs="Times New Roman"/>
          <w:sz w:val="20"/>
          <w:szCs w:val="20"/>
        </w:rPr>
        <w:t>92), 42 U.S.C. § 300x-57 (2011)</w:t>
      </w:r>
      <w:r w:rsidRPr="003F0DD1">
        <w:rPr>
          <w:rFonts w:cs="Times New Roman"/>
          <w:sz w:val="20"/>
          <w:szCs w:val="20"/>
        </w:rPr>
        <w:t xml:space="preserve">. </w:t>
      </w:r>
    </w:p>
  </w:footnote>
  <w:footnote w:id="16">
    <w:p w14:paraId="412E90BC" w14:textId="03041F7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Family Violence Prevention and Services Act (as amended 2010), 42 U.S.C. § 10406 (2011</w:t>
      </w:r>
      <w:r>
        <w:rPr>
          <w:rFonts w:cs="Times New Roman"/>
          <w:sz w:val="20"/>
          <w:szCs w:val="20"/>
        </w:rPr>
        <w:t>)</w:t>
      </w:r>
      <w:r w:rsidRPr="003F0DD1">
        <w:rPr>
          <w:rFonts w:cs="Times New Roman"/>
          <w:sz w:val="20"/>
          <w:szCs w:val="20"/>
        </w:rPr>
        <w:t>.</w:t>
      </w:r>
    </w:p>
  </w:footnote>
  <w:footnote w:id="17">
    <w:p w14:paraId="32734953" w14:textId="0F5F523F"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Violence Against Women Reauthorization Act of 2013, Pub. L. No. 113:4, Overview (Mar. 7, 2013)</w:t>
      </w:r>
      <w:r>
        <w:rPr>
          <w:rFonts w:cs="Times New Roman"/>
          <w:sz w:val="20"/>
          <w:szCs w:val="20"/>
        </w:rPr>
        <w:t xml:space="preserve"> (hereinafter VAWA)</w:t>
      </w:r>
      <w:r w:rsidRPr="003F0DD1">
        <w:rPr>
          <w:rFonts w:cs="Times New Roman"/>
          <w:sz w:val="20"/>
          <w:szCs w:val="20"/>
        </w:rPr>
        <w:t>.</w:t>
      </w:r>
    </w:p>
  </w:footnote>
  <w:footnote w:id="18">
    <w:p w14:paraId="0BD0C481" w14:textId="50F6EA49"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Education, Training and Enhanced Services to End Violence Against and Abuse of Women with Disabilities</w:t>
      </w:r>
      <w:r w:rsidRPr="003F0DD1">
        <w:rPr>
          <w:rFonts w:cs="Times New Roman"/>
          <w:sz w:val="20"/>
          <w:szCs w:val="20"/>
        </w:rPr>
        <w:t>, Grant Programs, Office of Violence Against Women.</w:t>
      </w:r>
    </w:p>
  </w:footnote>
  <w:footnote w:id="19">
    <w:p w14:paraId="630F4A0D" w14:textId="53E06B2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FY 2013 OVW Grant Awards By Program</w:t>
      </w:r>
      <w:r w:rsidRPr="003F0DD1">
        <w:rPr>
          <w:rFonts w:cs="Times New Roman"/>
          <w:sz w:val="20"/>
          <w:szCs w:val="20"/>
        </w:rPr>
        <w:t>, Awards, Grant Programs, Office of Violence Against Women (OVW)</w:t>
      </w:r>
      <w:r>
        <w:rPr>
          <w:rFonts w:cs="Times New Roman"/>
          <w:sz w:val="20"/>
          <w:szCs w:val="20"/>
        </w:rPr>
        <w:t xml:space="preserve"> </w:t>
      </w:r>
      <w:r w:rsidRPr="003F0DD1">
        <w:rPr>
          <w:rFonts w:cs="Times New Roman"/>
          <w:sz w:val="20"/>
          <w:szCs w:val="20"/>
        </w:rPr>
        <w:t>(reporting that the nine states that received funds were: DC, IL, MO, WI, MN, NC, and SD with IL and MN receiving two grants). OVW disability-related grants totaled $3,875,000, a mere 1.02% of the overall total allocated by OVW Grant Program of $378,964,893.</w:t>
      </w:r>
    </w:p>
  </w:footnote>
  <w:footnote w:id="20">
    <w:p w14:paraId="5C98AF9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Prison Rape Elimination Act of 2003, Pub. L. No, 108-79, 117 Stat. 972, 42 U.S.C. §§ 15601-609 (Sept. 4, 2003) [hereinafter PREA].</w:t>
      </w:r>
    </w:p>
  </w:footnote>
  <w:footnote w:id="21">
    <w:p w14:paraId="6895DA2C" w14:textId="59C8640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22">
    <w:p w14:paraId="57DFB668"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Joye Whatley, </w:t>
      </w:r>
      <w:r w:rsidRPr="003F0DD1">
        <w:rPr>
          <w:rFonts w:cs="Times New Roman"/>
          <w:i/>
          <w:iCs/>
          <w:sz w:val="20"/>
          <w:szCs w:val="20"/>
        </w:rPr>
        <w:t>Violence Against Women with Disabilities: Policy Implications of What We Don’t Know</w:t>
      </w:r>
      <w:r w:rsidRPr="003F0DD1">
        <w:rPr>
          <w:rFonts w:cs="Times New Roman"/>
          <w:sz w:val="20"/>
          <w:szCs w:val="20"/>
        </w:rPr>
        <w:t xml:space="preserve">, 13 </w:t>
      </w:r>
      <w:r w:rsidRPr="003F0DD1">
        <w:rPr>
          <w:rFonts w:cs="Times New Roman"/>
          <w:smallCaps/>
          <w:sz w:val="20"/>
          <w:szCs w:val="20"/>
        </w:rPr>
        <w:t>Impact</w:t>
      </w:r>
      <w:r w:rsidRPr="003F0DD1">
        <w:rPr>
          <w:rFonts w:cs="Times New Roman"/>
          <w:sz w:val="20"/>
          <w:szCs w:val="20"/>
        </w:rPr>
        <w:t xml:space="preserve"> 3 (2000), </w:t>
      </w:r>
      <w:r w:rsidRPr="003F0DD1">
        <w:rPr>
          <w:rFonts w:cs="Times New Roman"/>
          <w:i/>
          <w:iCs/>
          <w:sz w:val="20"/>
          <w:szCs w:val="20"/>
        </w:rPr>
        <w:t>available at</w:t>
      </w:r>
      <w:r w:rsidRPr="003F0DD1">
        <w:rPr>
          <w:rFonts w:cs="Times New Roman"/>
          <w:sz w:val="20"/>
          <w:szCs w:val="20"/>
        </w:rPr>
        <w:t xml:space="preserve"> http://ici.umn.edu/products/impact/133/over3.html.</w:t>
      </w:r>
    </w:p>
  </w:footnote>
  <w:footnote w:id="23">
    <w:p w14:paraId="3C658740" w14:textId="463DC51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Health and Hum. Serv., </w:t>
      </w:r>
      <w:r w:rsidRPr="003F0DD1">
        <w:rPr>
          <w:rFonts w:cs="Times New Roman"/>
          <w:i/>
          <w:iCs/>
          <w:sz w:val="20"/>
          <w:szCs w:val="20"/>
        </w:rPr>
        <w:t>Section 1157 of the Patient Protection and Affordable Care Act</w:t>
      </w:r>
      <w:r w:rsidRPr="003F0DD1">
        <w:rPr>
          <w:rFonts w:cs="Times New Roman"/>
          <w:sz w:val="20"/>
          <w:szCs w:val="20"/>
        </w:rPr>
        <w:t xml:space="preserve">; </w:t>
      </w:r>
      <w:r w:rsidRPr="003F0DD1">
        <w:rPr>
          <w:rFonts w:cs="Times New Roman"/>
          <w:i/>
          <w:iCs/>
          <w:sz w:val="20"/>
          <w:szCs w:val="20"/>
        </w:rPr>
        <w:t>see also</w:t>
      </w:r>
      <w:r w:rsidRPr="003F0DD1">
        <w:rPr>
          <w:rFonts w:cs="Times New Roman"/>
          <w:sz w:val="20"/>
          <w:szCs w:val="20"/>
        </w:rPr>
        <w:t xml:space="preserve"> U.S. Dep’t of Health and Hum. Serv., </w:t>
      </w:r>
      <w:r w:rsidRPr="003F0DD1">
        <w:rPr>
          <w:rFonts w:cs="Times New Roman"/>
          <w:i/>
          <w:iCs/>
          <w:sz w:val="20"/>
          <w:szCs w:val="20"/>
        </w:rPr>
        <w:t>Affordable Care Act Expands Prevention Coverage for Women’s Health and Well Being</w:t>
      </w:r>
      <w:r w:rsidRPr="003F0DD1">
        <w:rPr>
          <w:rFonts w:cs="Times New Roman"/>
          <w:sz w:val="20"/>
          <w:szCs w:val="20"/>
        </w:rPr>
        <w:t xml:space="preserve">.   </w:t>
      </w:r>
    </w:p>
  </w:footnote>
  <w:footnote w:id="24">
    <w:p w14:paraId="1E02896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U.S. Access Board, </w:t>
      </w:r>
      <w:r w:rsidRPr="003F0DD1">
        <w:rPr>
          <w:rFonts w:cs="Times New Roman"/>
          <w:i/>
          <w:iCs/>
          <w:sz w:val="20"/>
          <w:szCs w:val="20"/>
        </w:rPr>
        <w:t>Advancing Equal Access to Diagnostic Services: Recommendations on Standards for the Design of Medical Diagnostic Equipment for Adults with Disabilities</w:t>
      </w:r>
      <w:r w:rsidRPr="003F0DD1">
        <w:rPr>
          <w:rFonts w:cs="Times New Roman"/>
          <w:sz w:val="20"/>
          <w:szCs w:val="20"/>
        </w:rPr>
        <w:t xml:space="preserve"> (Dec. 6, 2013), </w:t>
      </w:r>
      <w:r w:rsidRPr="003F0DD1">
        <w:rPr>
          <w:rFonts w:cs="Times New Roman"/>
          <w:i/>
          <w:iCs/>
          <w:sz w:val="20"/>
          <w:szCs w:val="20"/>
        </w:rPr>
        <w:t>available at</w:t>
      </w:r>
      <w:r w:rsidRPr="003F0DD1">
        <w:rPr>
          <w:rFonts w:cs="Times New Roman"/>
          <w:sz w:val="20"/>
          <w:szCs w:val="20"/>
        </w:rPr>
        <w:t xml:space="preserve"> http://www.access-board.gov/guidelines-and-standards/health-care/about-this-rulemaking/advisory-committee-final-report/5-recommendations. </w:t>
      </w:r>
    </w:p>
  </w:footnote>
  <w:footnote w:id="25">
    <w:p w14:paraId="625EF901" w14:textId="659127B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2D1F07">
        <w:rPr>
          <w:rFonts w:cs="Times New Roman"/>
          <w:i/>
          <w:iCs/>
          <w:sz w:val="20"/>
          <w:szCs w:val="20"/>
        </w:rPr>
        <w:t>Id</w:t>
      </w:r>
      <w:r w:rsidRPr="003F0DD1">
        <w:rPr>
          <w:rFonts w:cs="Times New Roman"/>
          <w:sz w:val="20"/>
          <w:szCs w:val="20"/>
        </w:rPr>
        <w:t>.</w:t>
      </w:r>
    </w:p>
  </w:footnote>
  <w:footnote w:id="26">
    <w:p w14:paraId="43EF068F" w14:textId="3EEFAF69" w:rsidR="0064077B" w:rsidRPr="003F0DD1" w:rsidRDefault="0064077B" w:rsidP="002D1F07">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Exec. Order No. 13535, </w:t>
      </w:r>
      <w:r w:rsidRPr="003F0DD1">
        <w:rPr>
          <w:rFonts w:cs="Times New Roman"/>
          <w:sz w:val="20"/>
          <w:szCs w:val="20"/>
          <w:shd w:val="clear" w:color="auto" w:fill="FFFFFF"/>
        </w:rPr>
        <w:t>C.F.R. 15599 (2010)</w:t>
      </w:r>
      <w:r w:rsidRPr="003F0DD1">
        <w:rPr>
          <w:rFonts w:cs="Times New Roman"/>
          <w:sz w:val="20"/>
          <w:szCs w:val="20"/>
        </w:rPr>
        <w:t>.</w:t>
      </w:r>
    </w:p>
  </w:footnote>
  <w:footnote w:id="27">
    <w:p w14:paraId="727E9E4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Guttmacher Institute, </w:t>
      </w:r>
      <w:r w:rsidRPr="003F0DD1">
        <w:rPr>
          <w:rFonts w:cs="Times New Roman"/>
          <w:i/>
          <w:iCs/>
          <w:sz w:val="20"/>
          <w:szCs w:val="20"/>
        </w:rPr>
        <w:t>State Policies in Brief: State Funding of Abortion Under Medicaid</w:t>
      </w:r>
      <w:r w:rsidRPr="003F0DD1">
        <w:rPr>
          <w:rFonts w:cs="Times New Roman"/>
          <w:sz w:val="20"/>
          <w:szCs w:val="20"/>
        </w:rPr>
        <w:t xml:space="preserve"> (Sept. 1, 2014), </w:t>
      </w:r>
      <w:r w:rsidRPr="003F0DD1">
        <w:rPr>
          <w:rFonts w:cs="Times New Roman"/>
          <w:i/>
          <w:iCs/>
          <w:sz w:val="20"/>
          <w:szCs w:val="20"/>
        </w:rPr>
        <w:t>available at</w:t>
      </w:r>
      <w:r w:rsidRPr="003F0DD1">
        <w:rPr>
          <w:rFonts w:cs="Times New Roman"/>
          <w:sz w:val="20"/>
          <w:szCs w:val="20"/>
        </w:rPr>
        <w:t xml:space="preserve"> http://www.guttmacher.org/statecenter/spibs/spib_SFAM.pdf. </w:t>
      </w:r>
    </w:p>
  </w:footnote>
  <w:footnote w:id="28">
    <w:p w14:paraId="7E8BFF62" w14:textId="0C292A69"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Title IX of the Education Amendments of 1972 (discrimination based on sex or blindness), 20 U.S.C. §§ 1681 et. seq., (West Supp. 2006); U.S. Dep’t of Educ., Questions and Answers on Title IX and Sexual Violence, 5 (2014).</w:t>
      </w:r>
    </w:p>
  </w:footnote>
  <w:footnote w:id="29">
    <w:p w14:paraId="5BD15CD8" w14:textId="74A5A2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Educ., Violence Against Women Act, Proposed Rule, 34 C.F.R. 668, § 668.46 (June 20, 2014). </w:t>
      </w:r>
    </w:p>
  </w:footnote>
  <w:footnote w:id="30">
    <w:p w14:paraId="09E3A94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Stephanie Ortoleva &amp; Hope Lewis, </w:t>
      </w:r>
      <w:r w:rsidRPr="003F0DD1">
        <w:rPr>
          <w:rFonts w:cs="Times New Roman"/>
          <w:i/>
          <w:iCs/>
          <w:sz w:val="20"/>
          <w:szCs w:val="20"/>
        </w:rPr>
        <w:t>Forgotten Sisters - A Report on Violence Against Women with Disabilities: An Overview of its Nature, Scope, Causes and Consequences</w:t>
      </w:r>
      <w:r w:rsidRPr="003F0DD1">
        <w:rPr>
          <w:rFonts w:cs="Times New Roman"/>
          <w:smallCaps/>
          <w:sz w:val="20"/>
          <w:szCs w:val="20"/>
        </w:rPr>
        <w:t>, Northeastern University School of Law,</w:t>
      </w:r>
      <w:r w:rsidRPr="003F0DD1">
        <w:rPr>
          <w:rFonts w:cs="Times New Roman"/>
          <w:sz w:val="20"/>
          <w:szCs w:val="20"/>
        </w:rPr>
        <w:t xml:space="preserve"> Research Paper No. 104-2012 (Aug. 21, 2012), </w:t>
      </w:r>
      <w:r w:rsidRPr="003F0DD1">
        <w:rPr>
          <w:rFonts w:cs="Times New Roman"/>
          <w:i/>
          <w:iCs/>
          <w:sz w:val="20"/>
          <w:szCs w:val="20"/>
        </w:rPr>
        <w:t>available at</w:t>
      </w:r>
      <w:r w:rsidRPr="003F0DD1">
        <w:rPr>
          <w:rFonts w:cs="Times New Roman"/>
          <w:sz w:val="20"/>
          <w:szCs w:val="20"/>
        </w:rPr>
        <w:t xml:space="preserve"> http://ssrn.com/abstract=2133332 [hereinafter Forgotten Sisters]; Jesse Krohn, </w:t>
      </w:r>
      <w:r w:rsidRPr="003F0DD1">
        <w:rPr>
          <w:rFonts w:cs="Times New Roman"/>
          <w:i/>
          <w:iCs/>
          <w:sz w:val="20"/>
          <w:szCs w:val="20"/>
        </w:rPr>
        <w:t>Sexual Harassment, Sexual Assault, and Students with Special Needs: Crafting an Effective Response for Schools</w:t>
      </w:r>
      <w:r w:rsidRPr="003F0DD1">
        <w:rPr>
          <w:rFonts w:cs="Times New Roman"/>
          <w:sz w:val="20"/>
          <w:szCs w:val="20"/>
        </w:rPr>
        <w:t xml:space="preserve">, 17 </w:t>
      </w:r>
      <w:r w:rsidRPr="003F0DD1">
        <w:rPr>
          <w:rFonts w:cs="Times New Roman"/>
          <w:smallCaps/>
          <w:sz w:val="20"/>
          <w:szCs w:val="20"/>
        </w:rPr>
        <w:t>U. Pa. J. L. &amp; Soc. Change</w:t>
      </w:r>
      <w:r w:rsidRPr="003F0DD1">
        <w:rPr>
          <w:rFonts w:cs="Times New Roman"/>
          <w:sz w:val="20"/>
          <w:szCs w:val="20"/>
        </w:rPr>
        <w:t xml:space="preserve"> 29 (2014), </w:t>
      </w:r>
      <w:r w:rsidRPr="003F0DD1">
        <w:rPr>
          <w:rFonts w:cs="Times New Roman"/>
          <w:i/>
          <w:iCs/>
          <w:sz w:val="20"/>
          <w:szCs w:val="20"/>
        </w:rPr>
        <w:t>available at</w:t>
      </w:r>
      <w:r w:rsidRPr="003F0DD1">
        <w:rPr>
          <w:rFonts w:cs="Times New Roman"/>
          <w:sz w:val="20"/>
          <w:szCs w:val="20"/>
        </w:rPr>
        <w:t xml:space="preserve"> http://scholarship.law.upenn.edu/cgi/viewcontent.cgi?article=1163&amp;context=jlasc [hereinafter Sexual Harassment, Sexual Assault, and Students with Special Needs]. </w:t>
      </w:r>
    </w:p>
  </w:footnote>
  <w:footnote w:id="31">
    <w:p w14:paraId="7DE0F3D5" w14:textId="58DC24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Women Enabled International, </w:t>
      </w:r>
      <w:r w:rsidRPr="003F0DD1">
        <w:rPr>
          <w:rFonts w:cs="Times New Roman"/>
          <w:i/>
          <w:iCs/>
          <w:sz w:val="20"/>
          <w:szCs w:val="20"/>
        </w:rPr>
        <w:t>Comments on U.S. Dept. of Education Title IX Sex Assault and Harassment Regulations</w:t>
      </w:r>
      <w:r w:rsidRPr="003F0DD1">
        <w:rPr>
          <w:rFonts w:cs="Times New Roman"/>
          <w:sz w:val="20"/>
          <w:szCs w:val="20"/>
        </w:rPr>
        <w:t xml:space="preserve"> (July 21, 2014). </w:t>
      </w:r>
    </w:p>
  </w:footnote>
  <w:footnote w:id="32">
    <w:p w14:paraId="39F72EB0"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Individuals with Disabilities Education Improvement Act of 2004, Pub. L. 108-446, 20 U.S.C. 1400 (Dec. 3, 2004), </w:t>
      </w:r>
      <w:r w:rsidRPr="003F0DD1">
        <w:rPr>
          <w:rFonts w:cs="Times New Roman"/>
          <w:i/>
          <w:iCs/>
          <w:sz w:val="20"/>
          <w:szCs w:val="20"/>
        </w:rPr>
        <w:t>available at</w:t>
      </w:r>
      <w:r w:rsidRPr="003F0DD1">
        <w:rPr>
          <w:rFonts w:cs="Times New Roman"/>
          <w:sz w:val="20"/>
          <w:szCs w:val="20"/>
        </w:rPr>
        <w:t xml:space="preserve"> http://nichcy.org/wp-content/uploads/docs/PL108-446.pdf [hereinafter Individuals with Disabilities Education Improvement Act]. </w:t>
      </w:r>
    </w:p>
  </w:footnote>
  <w:footnote w:id="33">
    <w:p w14:paraId="5AC6D699" w14:textId="491A6DD0"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shd w:val="clear" w:color="auto" w:fill="FFFFFF"/>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 xml:space="preserve">. </w:t>
      </w:r>
    </w:p>
  </w:footnote>
  <w:footnote w:id="34">
    <w:p w14:paraId="1923A26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National Council on Disability, </w:t>
      </w:r>
      <w:r w:rsidRPr="003F0DD1">
        <w:rPr>
          <w:rFonts w:cs="Times New Roman"/>
          <w:i/>
          <w:iCs/>
          <w:sz w:val="20"/>
          <w:szCs w:val="20"/>
        </w:rPr>
        <w:t>The Current State of Health Care for People with Disabilities</w:t>
      </w:r>
      <w:r w:rsidRPr="003F0DD1">
        <w:rPr>
          <w:rFonts w:cs="Times New Roman"/>
          <w:sz w:val="20"/>
          <w:szCs w:val="20"/>
        </w:rPr>
        <w:t xml:space="preserve">, pg. 56 (Sept. 30, 2009), </w:t>
      </w:r>
      <w:r w:rsidRPr="003F0DD1">
        <w:rPr>
          <w:rFonts w:cs="Times New Roman"/>
          <w:i/>
          <w:iCs/>
          <w:sz w:val="20"/>
          <w:szCs w:val="20"/>
        </w:rPr>
        <w:t>available at</w:t>
      </w:r>
      <w:r w:rsidRPr="003F0DD1">
        <w:rPr>
          <w:rFonts w:cs="Times New Roman"/>
          <w:sz w:val="20"/>
          <w:szCs w:val="20"/>
        </w:rPr>
        <w:t xml:space="preserve"> http://www.ncd.gov/publications/2009/Sept302009#Health and Health Disparities Research [hereinafter Current State of Health Care].</w:t>
      </w:r>
    </w:p>
  </w:footnote>
  <w:footnote w:id="35">
    <w:p w14:paraId="071ABFDC" w14:textId="06885ED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The National Center for Health Statistics found that as of 2005, 65-71% of women with disabilities have had a Pap test compared to 83% of women without disabilities. </w:t>
      </w:r>
      <w:r>
        <w:rPr>
          <w:rFonts w:cs="Times New Roman"/>
          <w:i/>
          <w:sz w:val="20"/>
          <w:szCs w:val="20"/>
        </w:rPr>
        <w:t>Id.</w:t>
      </w:r>
      <w:r w:rsidRPr="003F0DD1">
        <w:rPr>
          <w:rFonts w:cs="Times New Roman"/>
          <w:sz w:val="20"/>
          <w:szCs w:val="20"/>
        </w:rPr>
        <w:t xml:space="preserve">, at 41. </w:t>
      </w:r>
      <w:r w:rsidRPr="003F0DD1">
        <w:rPr>
          <w:rFonts w:cs="Times New Roman"/>
          <w:i/>
          <w:iCs/>
          <w:sz w:val="20"/>
          <w:szCs w:val="20"/>
        </w:rPr>
        <w:t>See also</w:t>
      </w:r>
      <w:r w:rsidRPr="003F0DD1">
        <w:rPr>
          <w:rFonts w:cs="Times New Roman"/>
          <w:sz w:val="20"/>
          <w:szCs w:val="20"/>
        </w:rPr>
        <w:t xml:space="preserve"> Elizabeth Pendo, </w:t>
      </w:r>
      <w:r w:rsidRPr="003F0DD1">
        <w:rPr>
          <w:rFonts w:cs="Times New Roman"/>
          <w:i/>
          <w:iCs/>
          <w:sz w:val="20"/>
          <w:szCs w:val="20"/>
        </w:rPr>
        <w:t>Reducing Disparities through Health Care Reform: Disability and Accessible Medical Equipment</w:t>
      </w:r>
      <w:r w:rsidRPr="003F0DD1">
        <w:rPr>
          <w:rFonts w:cs="Times New Roman"/>
          <w:sz w:val="20"/>
          <w:szCs w:val="20"/>
        </w:rPr>
        <w:t xml:space="preserve">, 4 </w:t>
      </w:r>
      <w:r w:rsidRPr="003F0DD1">
        <w:rPr>
          <w:rFonts w:cs="Times New Roman"/>
          <w:smallCaps/>
          <w:sz w:val="20"/>
          <w:szCs w:val="20"/>
        </w:rPr>
        <w:t>Utah L. Rev.</w:t>
      </w:r>
      <w:r w:rsidRPr="003F0DD1">
        <w:rPr>
          <w:rFonts w:cs="Times New Roman"/>
          <w:sz w:val="20"/>
          <w:szCs w:val="20"/>
        </w:rPr>
        <w:t xml:space="preserve"> 1057, 1065 (2010) [hereinafter Reducing Disparities]; Drew Rivera et al., </w:t>
      </w:r>
      <w:r w:rsidRPr="003F0DD1">
        <w:rPr>
          <w:rFonts w:cs="Times New Roman"/>
          <w:i/>
          <w:iCs/>
          <w:sz w:val="20"/>
          <w:szCs w:val="20"/>
        </w:rPr>
        <w:t>Disability and Pap Smear Receipt among U.S. Women, 2000 and 2005</w:t>
      </w:r>
      <w:r w:rsidRPr="003F0DD1">
        <w:rPr>
          <w:rFonts w:cs="Times New Roman"/>
          <w:sz w:val="20"/>
          <w:szCs w:val="20"/>
        </w:rPr>
        <w:t xml:space="preserve">, 42 </w:t>
      </w:r>
      <w:r w:rsidRPr="003F0DD1">
        <w:rPr>
          <w:rFonts w:cs="Times New Roman"/>
          <w:smallCaps/>
          <w:sz w:val="20"/>
          <w:szCs w:val="20"/>
        </w:rPr>
        <w:t>Persp. on Sexual and Reprod. Health, 258-66</w:t>
      </w:r>
      <w:r w:rsidRPr="003F0DD1">
        <w:rPr>
          <w:rFonts w:cs="Times New Roman"/>
          <w:sz w:val="20"/>
          <w:szCs w:val="20"/>
        </w:rPr>
        <w:t xml:space="preserve"> (2010).</w:t>
      </w:r>
    </w:p>
  </w:footnote>
  <w:footnote w:id="36">
    <w:p w14:paraId="283F1E5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Association of State and Territorial Health Officials, </w:t>
      </w:r>
      <w:r w:rsidRPr="003F0DD1">
        <w:rPr>
          <w:rFonts w:cs="Times New Roman"/>
          <w:i/>
          <w:iCs/>
          <w:sz w:val="20"/>
          <w:szCs w:val="20"/>
        </w:rPr>
        <w:t>Access to Preventive Healthcare Services for Women with Disabilities</w:t>
      </w:r>
      <w:r w:rsidRPr="003F0DD1">
        <w:rPr>
          <w:rFonts w:cs="Times New Roman"/>
          <w:sz w:val="20"/>
          <w:szCs w:val="20"/>
        </w:rPr>
        <w:t xml:space="preserve"> (2013), </w:t>
      </w:r>
      <w:r w:rsidRPr="003F0DD1">
        <w:rPr>
          <w:rFonts w:cs="Times New Roman"/>
          <w:i/>
          <w:iCs/>
          <w:sz w:val="20"/>
          <w:szCs w:val="20"/>
        </w:rPr>
        <w:t>available at</w:t>
      </w:r>
      <w:r w:rsidRPr="003F0DD1">
        <w:rPr>
          <w:rFonts w:cs="Times New Roman"/>
          <w:sz w:val="20"/>
          <w:szCs w:val="20"/>
        </w:rPr>
        <w:t xml:space="preserve"> http://www.astho.org/Access-to-Preventive-Healthcare-Services-for-Women-with-Disabilities-Fact-Sheet/ [hereinafter Access to Preventive Healthcare Services].</w:t>
      </w:r>
    </w:p>
  </w:footnote>
  <w:footnote w:id="37">
    <w:p w14:paraId="187C752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Nancy Mele et al., </w:t>
      </w:r>
      <w:r w:rsidRPr="003F0DD1">
        <w:rPr>
          <w:rFonts w:cs="Times New Roman"/>
          <w:i/>
          <w:iCs/>
          <w:sz w:val="20"/>
          <w:szCs w:val="20"/>
        </w:rPr>
        <w:t>Access to Breast Cancer Screening Services for Women with Disabilities</w:t>
      </w:r>
      <w:r w:rsidRPr="003F0DD1">
        <w:rPr>
          <w:rFonts w:cs="Times New Roman"/>
          <w:sz w:val="20"/>
          <w:szCs w:val="20"/>
        </w:rPr>
        <w:t xml:space="preserve">, 34 </w:t>
      </w:r>
      <w:r w:rsidRPr="003F0DD1">
        <w:rPr>
          <w:rFonts w:cs="Times New Roman"/>
          <w:smallCaps/>
          <w:sz w:val="20"/>
          <w:szCs w:val="20"/>
          <w:shd w:val="clear" w:color="auto" w:fill="FFFFFF"/>
        </w:rPr>
        <w:t>J. of Obstetric, Gynecologic, &amp; Neonatal Nursing</w:t>
      </w:r>
      <w:r w:rsidRPr="003F0DD1">
        <w:rPr>
          <w:rFonts w:cs="Times New Roman"/>
          <w:sz w:val="20"/>
          <w:szCs w:val="20"/>
          <w:shd w:val="clear" w:color="auto" w:fill="FFFFFF"/>
        </w:rPr>
        <w:t xml:space="preserve"> 453-64</w:t>
      </w:r>
      <w:r w:rsidRPr="003F0DD1">
        <w:rPr>
          <w:rFonts w:cs="Times New Roman"/>
          <w:sz w:val="20"/>
          <w:szCs w:val="20"/>
        </w:rPr>
        <w:t xml:space="preserve"> (July 2005) [hereinafter Mele, Breast Cancer Screenings]</w:t>
      </w:r>
      <w:r w:rsidRPr="003F0DD1">
        <w:rPr>
          <w:rFonts w:cs="Times New Roman"/>
          <w:sz w:val="20"/>
          <w:szCs w:val="20"/>
          <w:shd w:val="clear" w:color="auto" w:fill="FFFFFF"/>
        </w:rPr>
        <w:t>.</w:t>
      </w:r>
    </w:p>
  </w:footnote>
  <w:footnote w:id="38">
    <w:p w14:paraId="79A843AB"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Centers for Disease Control and Prevention (CDC), </w:t>
      </w:r>
      <w:r w:rsidRPr="003F0DD1">
        <w:rPr>
          <w:rFonts w:cs="Times New Roman"/>
          <w:i/>
          <w:iCs/>
          <w:sz w:val="20"/>
          <w:szCs w:val="20"/>
        </w:rPr>
        <w:t>Women with Disabilities and Breast Cancer Screening</w:t>
      </w:r>
      <w:r w:rsidRPr="003F0DD1">
        <w:rPr>
          <w:rFonts w:cs="Times New Roman"/>
          <w:sz w:val="20"/>
          <w:szCs w:val="20"/>
        </w:rPr>
        <w:t xml:space="preserve"> (Nov. 14, 2013), </w:t>
      </w:r>
      <w:r w:rsidRPr="003F0DD1">
        <w:rPr>
          <w:rFonts w:cs="Times New Roman"/>
          <w:i/>
          <w:iCs/>
          <w:sz w:val="20"/>
          <w:szCs w:val="20"/>
        </w:rPr>
        <w:t>available at</w:t>
      </w:r>
      <w:r w:rsidRPr="003F0DD1">
        <w:rPr>
          <w:rFonts w:cs="Times New Roman"/>
          <w:sz w:val="20"/>
          <w:szCs w:val="20"/>
        </w:rPr>
        <w:t xml:space="preserve"> http://www.cdc.gov/features/breastcancerscreening/ (last accessed Sept. 5, 2014).</w:t>
      </w:r>
    </w:p>
  </w:footnote>
  <w:footnote w:id="39">
    <w:p w14:paraId="4738EEC8" w14:textId="32DAA43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Mele, Breast Cancer Screenings, </w:t>
      </w:r>
      <w:r w:rsidRPr="003F0DD1">
        <w:rPr>
          <w:rFonts w:cs="Times New Roman"/>
          <w:i/>
          <w:iCs/>
          <w:sz w:val="20"/>
          <w:szCs w:val="20"/>
        </w:rPr>
        <w:t>supra</w:t>
      </w:r>
      <w:r w:rsidRPr="003F0DD1">
        <w:rPr>
          <w:rFonts w:cs="Times New Roman"/>
          <w:sz w:val="20"/>
          <w:szCs w:val="20"/>
        </w:rPr>
        <w:t xml:space="preserve"> note </w:t>
      </w:r>
      <w:r>
        <w:rPr>
          <w:rFonts w:cs="Times New Roman"/>
          <w:sz w:val="20"/>
          <w:szCs w:val="20"/>
        </w:rPr>
        <w:t>37</w:t>
      </w:r>
      <w:r w:rsidRPr="003F0DD1">
        <w:rPr>
          <w:rFonts w:cs="Times New Roman"/>
          <w:sz w:val="20"/>
          <w:szCs w:val="20"/>
          <w:shd w:val="clear" w:color="auto" w:fill="FFFFFF"/>
        </w:rPr>
        <w:t>;</w:t>
      </w:r>
      <w:r w:rsidRPr="003F0DD1">
        <w:rPr>
          <w:rFonts w:cs="Times New Roman"/>
          <w:sz w:val="20"/>
          <w:szCs w:val="20"/>
        </w:rPr>
        <w:t xml:space="preserve"> </w:t>
      </w:r>
      <w:r w:rsidRPr="003F0DD1">
        <w:rPr>
          <w:rFonts w:cs="Times New Roman"/>
          <w:i/>
          <w:iCs/>
          <w:sz w:val="20"/>
          <w:szCs w:val="20"/>
        </w:rPr>
        <w:t xml:space="preserve">see also </w:t>
      </w:r>
      <w:r w:rsidRPr="003F0DD1">
        <w:rPr>
          <w:rFonts w:cs="Times New Roman"/>
          <w:sz w:val="20"/>
          <w:szCs w:val="20"/>
        </w:rPr>
        <w:t xml:space="preserve">Rie Suzuki et al., </w:t>
      </w:r>
      <w:r w:rsidRPr="003F0DD1">
        <w:rPr>
          <w:rFonts w:cs="Times New Roman"/>
          <w:i/>
          <w:iCs/>
          <w:sz w:val="20"/>
          <w:szCs w:val="20"/>
        </w:rPr>
        <w:t>Multi-level Barriers to Obtaining Mammograms for Women with Mobility Limitations</w:t>
      </w:r>
      <w:r w:rsidRPr="003F0DD1">
        <w:rPr>
          <w:rFonts w:cs="Times New Roman"/>
          <w:sz w:val="20"/>
          <w:szCs w:val="20"/>
        </w:rPr>
        <w:t xml:space="preserve">, 37 </w:t>
      </w:r>
      <w:r w:rsidRPr="003F0DD1">
        <w:rPr>
          <w:rFonts w:cs="Times New Roman"/>
          <w:smallCaps/>
          <w:sz w:val="20"/>
          <w:szCs w:val="20"/>
        </w:rPr>
        <w:t>Am. J. Health Behav</w:t>
      </w:r>
      <w:r w:rsidRPr="003F0DD1">
        <w:rPr>
          <w:rFonts w:cs="Times New Roman"/>
          <w:sz w:val="20"/>
          <w:szCs w:val="20"/>
        </w:rPr>
        <w:t xml:space="preserve">. 711-718 (2013). </w:t>
      </w:r>
    </w:p>
  </w:footnote>
  <w:footnote w:id="40">
    <w:p w14:paraId="6E2D4BA4" w14:textId="1C1767B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Erin Billups, </w:t>
      </w:r>
      <w:r w:rsidRPr="003F0DD1">
        <w:rPr>
          <w:rFonts w:cs="Times New Roman"/>
          <w:i/>
          <w:iCs/>
          <w:sz w:val="20"/>
          <w:szCs w:val="20"/>
        </w:rPr>
        <w:t>Women with Disabilities Have Trouble Receiving Gynecology Services in City</w:t>
      </w:r>
      <w:r w:rsidRPr="003F0DD1">
        <w:rPr>
          <w:rFonts w:eastAsia="Arial Unicode MS" w:cs="Times New Roman"/>
          <w:sz w:val="20"/>
          <w:szCs w:val="20"/>
        </w:rPr>
        <w:t xml:space="preserve">, </w:t>
      </w:r>
      <w:r w:rsidRPr="003F0DD1">
        <w:rPr>
          <w:rFonts w:eastAsia="Arial Unicode MS" w:cs="Times New Roman"/>
          <w:smallCaps/>
          <w:sz w:val="20"/>
          <w:szCs w:val="20"/>
        </w:rPr>
        <w:t>N.Y. Times</w:t>
      </w:r>
      <w:r>
        <w:rPr>
          <w:rFonts w:eastAsia="Arial Unicode MS" w:cs="Times New Roman"/>
          <w:sz w:val="20"/>
          <w:szCs w:val="20"/>
        </w:rPr>
        <w:t xml:space="preserve"> (Apr.15, 2014)</w:t>
      </w:r>
      <w:r w:rsidRPr="003F0DD1">
        <w:rPr>
          <w:rFonts w:cs="Times New Roman"/>
          <w:sz w:val="20"/>
          <w:szCs w:val="20"/>
        </w:rPr>
        <w:t xml:space="preserve">; </w:t>
      </w:r>
      <w:r w:rsidRPr="003F0DD1">
        <w:rPr>
          <w:rFonts w:cs="Times New Roman"/>
          <w:i/>
          <w:iCs/>
          <w:sz w:val="20"/>
          <w:szCs w:val="20"/>
        </w:rPr>
        <w:t>see also</w:t>
      </w:r>
      <w:r w:rsidRPr="003F0DD1">
        <w:rPr>
          <w:rFonts w:cs="Times New Roman"/>
          <w:sz w:val="20"/>
          <w:szCs w:val="20"/>
        </w:rPr>
        <w:t xml:space="preserve"> CROWD</w:t>
      </w:r>
      <w:r>
        <w:rPr>
          <w:rFonts w:cs="Times New Roman"/>
          <w:sz w:val="20"/>
          <w:szCs w:val="20"/>
        </w:rPr>
        <w:t xml:space="preserve">, </w:t>
      </w:r>
      <w:r>
        <w:rPr>
          <w:rFonts w:cs="Times New Roman"/>
          <w:i/>
          <w:sz w:val="20"/>
          <w:szCs w:val="20"/>
        </w:rPr>
        <w:t>supra</w:t>
      </w:r>
      <w:r>
        <w:rPr>
          <w:rFonts w:cs="Times New Roman"/>
          <w:sz w:val="20"/>
          <w:szCs w:val="20"/>
        </w:rPr>
        <w:t xml:space="preserve"> note 40</w:t>
      </w:r>
      <w:r w:rsidRPr="003F0DD1">
        <w:rPr>
          <w:rFonts w:cs="Times New Roman"/>
          <w:sz w:val="20"/>
          <w:szCs w:val="20"/>
        </w:rPr>
        <w:t>, at 56, 64-68.</w:t>
      </w:r>
    </w:p>
  </w:footnote>
  <w:footnote w:id="41">
    <w:p w14:paraId="5ABBBC60" w14:textId="1E356F6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Access to Preventive Healthcare Services, </w:t>
      </w:r>
      <w:r w:rsidRPr="003F0DD1">
        <w:rPr>
          <w:rFonts w:cs="Times New Roman"/>
          <w:i/>
          <w:iCs/>
          <w:sz w:val="20"/>
          <w:szCs w:val="20"/>
        </w:rPr>
        <w:t>supra</w:t>
      </w:r>
      <w:r w:rsidRPr="003F0DD1">
        <w:rPr>
          <w:rFonts w:eastAsia="Arial Unicode MS" w:cs="Times New Roman"/>
          <w:sz w:val="20"/>
          <w:szCs w:val="20"/>
        </w:rPr>
        <w:t xml:space="preserve"> note </w:t>
      </w:r>
      <w:r>
        <w:rPr>
          <w:rFonts w:eastAsia="Arial Unicode MS" w:cs="Times New Roman"/>
          <w:sz w:val="20"/>
          <w:szCs w:val="20"/>
        </w:rPr>
        <w:t>36</w:t>
      </w:r>
      <w:r w:rsidRPr="003F0DD1">
        <w:rPr>
          <w:rFonts w:eastAsia="Arial Unicode MS" w:cs="Times New Roman"/>
          <w:sz w:val="20"/>
          <w:szCs w:val="20"/>
        </w:rPr>
        <w:t>; CROWD</w:t>
      </w:r>
      <w:r>
        <w:rPr>
          <w:rFonts w:eastAsia="Arial Unicode MS" w:cs="Times New Roman"/>
          <w:sz w:val="20"/>
          <w:szCs w:val="20"/>
        </w:rPr>
        <w:t xml:space="preserve">, </w:t>
      </w:r>
      <w:r>
        <w:rPr>
          <w:rFonts w:eastAsia="Arial Unicode MS" w:cs="Times New Roman"/>
          <w:i/>
          <w:sz w:val="20"/>
          <w:szCs w:val="20"/>
        </w:rPr>
        <w:t>supra</w:t>
      </w:r>
      <w:r>
        <w:rPr>
          <w:rFonts w:eastAsia="Arial Unicode MS" w:cs="Times New Roman"/>
          <w:sz w:val="20"/>
          <w:szCs w:val="20"/>
        </w:rPr>
        <w:t xml:space="preserve"> note 40</w:t>
      </w:r>
      <w:r w:rsidRPr="003F0DD1">
        <w:rPr>
          <w:rFonts w:eastAsia="Arial Unicode MS" w:cs="Times New Roman"/>
          <w:sz w:val="20"/>
          <w:szCs w:val="20"/>
        </w:rPr>
        <w:t>, at 50-51.</w:t>
      </w:r>
    </w:p>
  </w:footnote>
  <w:footnote w:id="42">
    <w:p w14:paraId="6F369AFE" w14:textId="793E43C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 generally</w:t>
      </w:r>
      <w:r w:rsidRPr="003F0DD1">
        <w:rPr>
          <w:rFonts w:cs="Times New Roman"/>
          <w:sz w:val="20"/>
          <w:szCs w:val="20"/>
        </w:rPr>
        <w:t xml:space="preserve"> Individuals with Disabilities Education Improvement Act,</w:t>
      </w:r>
      <w:r w:rsidRPr="003F0DD1">
        <w:rPr>
          <w:rFonts w:cs="Times New Roman"/>
          <w:i/>
          <w:iCs/>
          <w:sz w:val="20"/>
          <w:szCs w:val="20"/>
        </w:rPr>
        <w:t xml:space="preserve"> supra </w:t>
      </w:r>
      <w:r w:rsidRPr="003F0DD1">
        <w:rPr>
          <w:rFonts w:cs="Times New Roman"/>
          <w:sz w:val="20"/>
          <w:szCs w:val="20"/>
        </w:rPr>
        <w:t xml:space="preserve">note </w:t>
      </w:r>
      <w:r>
        <w:rPr>
          <w:rFonts w:cs="Times New Roman"/>
          <w:sz w:val="20"/>
          <w:szCs w:val="20"/>
        </w:rPr>
        <w:t>32</w:t>
      </w:r>
      <w:r w:rsidRPr="003F0DD1">
        <w:rPr>
          <w:rFonts w:cs="Times New Roman"/>
          <w:i/>
          <w:iCs/>
          <w:sz w:val="20"/>
          <w:szCs w:val="20"/>
        </w:rPr>
        <w:t xml:space="preserve"> </w:t>
      </w:r>
      <w:r w:rsidRPr="003F0DD1">
        <w:rPr>
          <w:rFonts w:cs="Times New Roman"/>
          <w:sz w:val="20"/>
          <w:szCs w:val="20"/>
        </w:rPr>
        <w:t>(withholding a requirement that persons with disabilities receive sexual and reproductive health education).</w:t>
      </w:r>
    </w:p>
  </w:footnote>
  <w:footnote w:id="43">
    <w:p w14:paraId="1CE50699" w14:textId="0073FAC8"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Bethany Stevens, </w:t>
      </w:r>
      <w:r w:rsidRPr="003F0DD1">
        <w:rPr>
          <w:rFonts w:cs="Times New Roman"/>
          <w:i/>
          <w:iCs/>
          <w:sz w:val="20"/>
          <w:szCs w:val="20"/>
        </w:rPr>
        <w:t>Politicizing Sexual Pleasure, Oppression and Disability: Recognizing and Undoing the Impacts of Ableism on Sexual and Reproductive Health</w:t>
      </w:r>
      <w:r w:rsidRPr="003F0DD1">
        <w:rPr>
          <w:rFonts w:cs="Times New Roman"/>
          <w:sz w:val="20"/>
          <w:szCs w:val="20"/>
        </w:rPr>
        <w:t xml:space="preserve">, </w:t>
      </w:r>
      <w:r w:rsidRPr="003F0DD1">
        <w:rPr>
          <w:rFonts w:cs="Times New Roman"/>
          <w:smallCaps/>
          <w:sz w:val="20"/>
          <w:szCs w:val="20"/>
        </w:rPr>
        <w:t>Ctr. for Women &amp; Pol’y Studies</w:t>
      </w:r>
      <w:r w:rsidRPr="003F0DD1">
        <w:rPr>
          <w:rFonts w:cs="Times New Roman"/>
          <w:sz w:val="20"/>
          <w:szCs w:val="20"/>
        </w:rPr>
        <w:t xml:space="preserve"> (2011); Emily Kronenberger et al., </w:t>
      </w:r>
      <w:r w:rsidRPr="003F0DD1">
        <w:rPr>
          <w:rFonts w:cs="Times New Roman"/>
          <w:i/>
          <w:iCs/>
          <w:sz w:val="20"/>
          <w:szCs w:val="20"/>
        </w:rPr>
        <w:t>Reproductive Health and Rights Disparities: An Overview,</w:t>
      </w:r>
      <w:r w:rsidRPr="003F0DD1">
        <w:rPr>
          <w:rFonts w:cs="Times New Roman"/>
          <w:sz w:val="20"/>
          <w:szCs w:val="20"/>
        </w:rPr>
        <w:t xml:space="preserve"> </w:t>
      </w:r>
      <w:r w:rsidRPr="003F0DD1">
        <w:rPr>
          <w:rFonts w:cs="Times New Roman"/>
          <w:smallCaps/>
          <w:sz w:val="20"/>
          <w:szCs w:val="20"/>
        </w:rPr>
        <w:t>Ctr. for Women &amp; Policy Studies</w:t>
      </w:r>
      <w:r w:rsidRPr="003F0DD1">
        <w:rPr>
          <w:rFonts w:cs="Times New Roman"/>
          <w:i/>
          <w:iCs/>
          <w:sz w:val="20"/>
          <w:szCs w:val="20"/>
        </w:rPr>
        <w:t xml:space="preserve"> </w:t>
      </w:r>
      <w:r w:rsidRPr="003F0DD1">
        <w:rPr>
          <w:rFonts w:cs="Times New Roman"/>
          <w:sz w:val="20"/>
          <w:szCs w:val="20"/>
        </w:rPr>
        <w:t>(2011).</w:t>
      </w:r>
    </w:p>
  </w:footnote>
  <w:footnote w:id="44">
    <w:p w14:paraId="193AED08"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Haefner et al., </w:t>
      </w:r>
      <w:r w:rsidRPr="003F0DD1">
        <w:rPr>
          <w:rFonts w:cs="Times New Roman"/>
          <w:i/>
          <w:iCs/>
          <w:sz w:val="20"/>
          <w:szCs w:val="20"/>
        </w:rPr>
        <w:t>Contraception in Women with Special Needs</w:t>
      </w:r>
      <w:r w:rsidRPr="003F0DD1">
        <w:rPr>
          <w:rFonts w:cs="Times New Roman"/>
          <w:sz w:val="20"/>
          <w:szCs w:val="20"/>
        </w:rPr>
        <w:t xml:space="preserve">, 24 </w:t>
      </w:r>
      <w:r w:rsidRPr="003F0DD1">
        <w:rPr>
          <w:rFonts w:cs="Times New Roman"/>
          <w:smallCaps/>
          <w:sz w:val="20"/>
          <w:szCs w:val="20"/>
        </w:rPr>
        <w:t>Comp. Ther</w:t>
      </w:r>
      <w:r w:rsidRPr="003F0DD1">
        <w:rPr>
          <w:rFonts w:cs="Times New Roman"/>
          <w:sz w:val="20"/>
          <w:szCs w:val="20"/>
        </w:rPr>
        <w:t>. 229, 238 (1998).</w:t>
      </w:r>
    </w:p>
  </w:footnote>
  <w:footnote w:id="45">
    <w:p w14:paraId="04A41065"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David Mandell et al., </w:t>
      </w:r>
      <w:r w:rsidRPr="003F0DD1">
        <w:rPr>
          <w:rFonts w:cs="Times New Roman"/>
          <w:i/>
          <w:iCs/>
          <w:sz w:val="20"/>
          <w:szCs w:val="20"/>
        </w:rPr>
        <w:t>Sexually Transmitted Infection Among Adolescents Receiving Special Education Services</w:t>
      </w:r>
      <w:r w:rsidRPr="003F0DD1">
        <w:rPr>
          <w:rFonts w:cs="Times New Roman"/>
          <w:sz w:val="20"/>
          <w:szCs w:val="20"/>
        </w:rPr>
        <w:t xml:space="preserve">, 78 </w:t>
      </w:r>
      <w:r w:rsidRPr="003F0DD1">
        <w:rPr>
          <w:rFonts w:cs="Times New Roman"/>
          <w:smallCaps/>
          <w:sz w:val="20"/>
          <w:szCs w:val="20"/>
        </w:rPr>
        <w:t>J. School Health</w:t>
      </w:r>
      <w:r w:rsidRPr="003F0DD1">
        <w:rPr>
          <w:rFonts w:cs="Times New Roman"/>
          <w:sz w:val="20"/>
          <w:szCs w:val="20"/>
        </w:rPr>
        <w:t xml:space="preserve"> 382-88 (2008). </w:t>
      </w:r>
    </w:p>
  </w:footnote>
  <w:footnote w:id="46">
    <w:p w14:paraId="2515A6EB" w14:textId="1771E7C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Nancy Murphy &amp; Ellen Roy Elias, </w:t>
      </w:r>
      <w:r w:rsidRPr="003F0DD1">
        <w:rPr>
          <w:rFonts w:cs="Times New Roman"/>
          <w:i/>
          <w:iCs/>
          <w:sz w:val="20"/>
          <w:szCs w:val="20"/>
        </w:rPr>
        <w:t>Sexuality of Children and Adolescents with Disabilities</w:t>
      </w:r>
      <w:r w:rsidRPr="003F0DD1">
        <w:rPr>
          <w:rFonts w:cs="Times New Roman"/>
          <w:sz w:val="20"/>
          <w:szCs w:val="20"/>
        </w:rPr>
        <w:t xml:space="preserve">, 118(1) </w:t>
      </w:r>
      <w:r w:rsidRPr="003F0DD1">
        <w:rPr>
          <w:rFonts w:cs="Times New Roman"/>
          <w:smallCaps/>
          <w:sz w:val="20"/>
          <w:szCs w:val="20"/>
        </w:rPr>
        <w:t>Pediatrics</w:t>
      </w:r>
      <w:r>
        <w:rPr>
          <w:rFonts w:cs="Times New Roman"/>
          <w:sz w:val="20"/>
          <w:szCs w:val="20"/>
        </w:rPr>
        <w:t xml:space="preserve"> 398, 400-01 (July 1, 2006)</w:t>
      </w:r>
      <w:r w:rsidRPr="003F0DD1">
        <w:rPr>
          <w:rFonts w:cs="Times New Roman"/>
          <w:sz w:val="20"/>
          <w:szCs w:val="20"/>
        </w:rPr>
        <w:t>.</w:t>
      </w:r>
    </w:p>
  </w:footnote>
  <w:footnote w:id="47">
    <w:p w14:paraId="4AB15000" w14:textId="3350C17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 xml:space="preserve">, </w:t>
      </w:r>
      <w:r>
        <w:rPr>
          <w:rFonts w:cs="Times New Roman"/>
          <w:i/>
          <w:iCs/>
          <w:sz w:val="20"/>
          <w:szCs w:val="20"/>
        </w:rPr>
        <w:t xml:space="preserve">supra </w:t>
      </w:r>
      <w:r>
        <w:rPr>
          <w:rFonts w:cs="Times New Roman"/>
          <w:iCs/>
          <w:sz w:val="20"/>
          <w:szCs w:val="20"/>
        </w:rPr>
        <w:t>note 40</w:t>
      </w:r>
      <w:r w:rsidRPr="003F0DD1">
        <w:rPr>
          <w:rFonts w:eastAsia="Arial Unicode MS" w:cs="Times New Roman"/>
          <w:sz w:val="20"/>
          <w:szCs w:val="20"/>
        </w:rPr>
        <w:t>, at 54.</w:t>
      </w:r>
    </w:p>
  </w:footnote>
  <w:footnote w:id="48">
    <w:p w14:paraId="0F56E68C" w14:textId="025741CD"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Individuals with Disabilities Education Improvement Act</w:t>
      </w:r>
      <w:r>
        <w:rPr>
          <w:rFonts w:eastAsia="Arial Unicode MS" w:cs="Times New Roman"/>
          <w:i/>
          <w:sz w:val="20"/>
          <w:szCs w:val="20"/>
        </w:rPr>
        <w:t>, supra</w:t>
      </w:r>
      <w:r>
        <w:rPr>
          <w:rFonts w:eastAsia="Arial Unicode MS" w:cs="Times New Roman"/>
          <w:sz w:val="20"/>
          <w:szCs w:val="20"/>
        </w:rPr>
        <w:t xml:space="preserve"> note 32.</w:t>
      </w:r>
      <w:r w:rsidRPr="003F0DD1">
        <w:rPr>
          <w:rFonts w:eastAsia="Arial Unicode MS" w:cs="Times New Roman"/>
          <w:sz w:val="20"/>
          <w:szCs w:val="20"/>
        </w:rPr>
        <w:t xml:space="preserve"> </w:t>
      </w:r>
    </w:p>
  </w:footnote>
  <w:footnote w:id="49">
    <w:p w14:paraId="13D73478" w14:textId="60C29C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Access to Preventive Healthcare Services, </w:t>
      </w:r>
      <w:r w:rsidRPr="003F0DD1">
        <w:rPr>
          <w:rFonts w:cs="Times New Roman"/>
          <w:i/>
          <w:iCs/>
          <w:sz w:val="20"/>
          <w:szCs w:val="20"/>
        </w:rPr>
        <w:t>supra</w:t>
      </w:r>
      <w:r w:rsidRPr="003F0DD1">
        <w:rPr>
          <w:rFonts w:eastAsia="Arial Unicode MS" w:cs="Times New Roman"/>
          <w:sz w:val="20"/>
          <w:szCs w:val="20"/>
        </w:rPr>
        <w:t xml:space="preserve"> note </w:t>
      </w:r>
      <w:r>
        <w:rPr>
          <w:rFonts w:eastAsia="Arial Unicode MS" w:cs="Times New Roman"/>
          <w:sz w:val="20"/>
          <w:szCs w:val="20"/>
        </w:rPr>
        <w:t>36</w:t>
      </w:r>
      <w:r w:rsidRPr="003F0DD1">
        <w:rPr>
          <w:rFonts w:eastAsia="Arial Unicode MS" w:cs="Times New Roman"/>
          <w:sz w:val="20"/>
          <w:szCs w:val="20"/>
        </w:rPr>
        <w:t xml:space="preserve">; </w:t>
      </w:r>
      <w:r w:rsidRPr="003F0DD1">
        <w:rPr>
          <w:rFonts w:cs="Times New Roman"/>
          <w:i/>
          <w:iCs/>
          <w:sz w:val="20"/>
          <w:szCs w:val="20"/>
        </w:rPr>
        <w:t>see also</w:t>
      </w:r>
      <w:r w:rsidRPr="003F0DD1">
        <w:rPr>
          <w:rFonts w:eastAsia="Arial Unicode M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 xml:space="preserve">, </w:t>
      </w:r>
      <w:r>
        <w:rPr>
          <w:rFonts w:cs="Times New Roman"/>
          <w:i/>
          <w:iCs/>
          <w:sz w:val="20"/>
          <w:szCs w:val="20"/>
        </w:rPr>
        <w:t>supra</w:t>
      </w:r>
      <w:r>
        <w:rPr>
          <w:rFonts w:cs="Times New Roman"/>
          <w:iCs/>
          <w:sz w:val="20"/>
          <w:szCs w:val="20"/>
        </w:rPr>
        <w:t xml:space="preserve"> note 40</w:t>
      </w:r>
      <w:r w:rsidRPr="003F0DD1">
        <w:rPr>
          <w:rFonts w:eastAsia="Arial Unicode MS" w:cs="Times New Roman"/>
          <w:sz w:val="20"/>
          <w:szCs w:val="20"/>
        </w:rPr>
        <w:t>, at 21.</w:t>
      </w:r>
    </w:p>
  </w:footnote>
  <w:footnote w:id="50">
    <w:p w14:paraId="4204AE7E" w14:textId="11B4CAE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Carrie L. Shandra et al., </w:t>
      </w:r>
      <w:r w:rsidRPr="003F0DD1">
        <w:rPr>
          <w:rFonts w:cs="Times New Roman"/>
          <w:i/>
          <w:iCs/>
          <w:sz w:val="20"/>
          <w:szCs w:val="20"/>
        </w:rPr>
        <w:t>Planning for Motherhood: Fertility Attitudes, Desires and Intentions Among Women with Disabilities</w:t>
      </w:r>
      <w:r w:rsidRPr="003F0DD1">
        <w:rPr>
          <w:rFonts w:cs="Times New Roman"/>
          <w:sz w:val="20"/>
          <w:szCs w:val="20"/>
        </w:rPr>
        <w:t xml:space="preserve">, 46 </w:t>
      </w:r>
      <w:r w:rsidRPr="003F0DD1">
        <w:rPr>
          <w:rFonts w:cs="Times New Roman"/>
          <w:smallCaps/>
          <w:sz w:val="20"/>
          <w:szCs w:val="20"/>
        </w:rPr>
        <w:t>Persp. on Sexual and Reprod. Health</w:t>
      </w:r>
      <w:r w:rsidRPr="003F0DD1">
        <w:rPr>
          <w:rFonts w:cs="Times New Roman"/>
          <w:i/>
          <w:iCs/>
          <w:sz w:val="20"/>
          <w:szCs w:val="20"/>
        </w:rPr>
        <w:t xml:space="preserve"> </w:t>
      </w:r>
      <w:r w:rsidRPr="003F0DD1">
        <w:rPr>
          <w:rFonts w:cs="Times New Roman"/>
          <w:sz w:val="20"/>
          <w:szCs w:val="20"/>
        </w:rPr>
        <w:t>(Dec</w:t>
      </w:r>
      <w:r>
        <w:rPr>
          <w:rFonts w:cs="Times New Roman"/>
          <w:sz w:val="20"/>
          <w:szCs w:val="20"/>
        </w:rPr>
        <w:t>.</w:t>
      </w:r>
      <w:r w:rsidRPr="003F0DD1">
        <w:rPr>
          <w:rFonts w:cs="Times New Roman"/>
          <w:sz w:val="20"/>
          <w:szCs w:val="20"/>
        </w:rPr>
        <w:t xml:space="preserve"> 2014). </w:t>
      </w:r>
    </w:p>
  </w:footnote>
  <w:footnote w:id="51">
    <w:p w14:paraId="48A6FBE1" w14:textId="05B2992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Erin Billups, </w:t>
      </w:r>
      <w:r w:rsidRPr="003F0DD1">
        <w:rPr>
          <w:rFonts w:cs="Times New Roman"/>
          <w:i/>
          <w:iCs/>
          <w:sz w:val="20"/>
          <w:szCs w:val="20"/>
        </w:rPr>
        <w:t>Women with Disabilities Have Trouble Receiving Gynecology Services in City</w:t>
      </w:r>
      <w:r w:rsidRPr="003F0DD1">
        <w:rPr>
          <w:rFonts w:eastAsia="Arial Unicode MS" w:cs="Times New Roman"/>
          <w:sz w:val="20"/>
          <w:szCs w:val="20"/>
        </w:rPr>
        <w:t xml:space="preserve">, </w:t>
      </w:r>
      <w:r>
        <w:rPr>
          <w:rFonts w:eastAsia="Arial Unicode MS" w:cs="Times New Roman"/>
          <w:smallCaps/>
          <w:sz w:val="20"/>
          <w:szCs w:val="20"/>
        </w:rPr>
        <w:t>N.Y. Times</w:t>
      </w:r>
      <w:r w:rsidRPr="003F0DD1">
        <w:rPr>
          <w:rFonts w:eastAsia="Arial Unicode MS" w:cs="Times New Roman"/>
          <w:sz w:val="20"/>
          <w:szCs w:val="20"/>
        </w:rPr>
        <w:t xml:space="preserve"> (Apr.15, 2014), </w:t>
      </w:r>
      <w:hyperlink r:id="rId2" w:history="1">
        <w:r w:rsidRPr="003F0DD1">
          <w:rPr>
            <w:rFonts w:eastAsia="Arial Unicode MS" w:cs="Times New Roman"/>
            <w:sz w:val="20"/>
            <w:szCs w:val="20"/>
          </w:rPr>
          <w:t>http://www.ny1.com/content/lifestyles/health_and_medicine/207001/women-with-disabilities-have-trouble-receiving-gynecology-services-in-city</w:t>
        </w:r>
      </w:hyperlink>
      <w:r w:rsidRPr="003F0DD1">
        <w:rPr>
          <w:rFonts w:eastAsia="Arial Unicode MS" w:cs="Times New Roman"/>
          <w:sz w:val="20"/>
          <w:szCs w:val="20"/>
        </w:rPr>
        <w:t>.</w:t>
      </w:r>
    </w:p>
  </w:footnote>
  <w:footnote w:id="52">
    <w:p w14:paraId="4919B3FD" w14:textId="09D1C77A" w:rsidR="0064077B" w:rsidRPr="0018338E"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note 34, at 1078.</w:t>
      </w:r>
    </w:p>
  </w:footnote>
  <w:footnote w:id="53">
    <w:p w14:paraId="7A1AD529" w14:textId="02CC726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Vanessa Volz, </w:t>
      </w:r>
      <w:r w:rsidRPr="003F0DD1">
        <w:rPr>
          <w:rFonts w:cs="Times New Roman"/>
          <w:i/>
          <w:iCs/>
          <w:sz w:val="20"/>
          <w:szCs w:val="20"/>
        </w:rPr>
        <w:t>A Matter of Choice: Women with Disabilities, Sterilization, and Reproductive Autonomy in the Twenty-First Century</w:t>
      </w:r>
      <w:r w:rsidRPr="003F0DD1">
        <w:rPr>
          <w:rFonts w:cs="Times New Roman"/>
          <w:sz w:val="20"/>
          <w:szCs w:val="20"/>
        </w:rPr>
        <w:t xml:space="preserve">, 27 </w:t>
      </w:r>
      <w:r w:rsidRPr="003F0DD1">
        <w:rPr>
          <w:rFonts w:cs="Times New Roman"/>
          <w:smallCaps/>
          <w:sz w:val="20"/>
          <w:szCs w:val="20"/>
        </w:rPr>
        <w:t>Women’s Rts. L. Rep.</w:t>
      </w:r>
      <w:r w:rsidRPr="003F0DD1">
        <w:rPr>
          <w:rFonts w:cs="Times New Roman"/>
          <w:sz w:val="20"/>
          <w:szCs w:val="20"/>
        </w:rPr>
        <w:t xml:space="preserve"> 203, 212 (2006).</w:t>
      </w:r>
    </w:p>
  </w:footnote>
  <w:footnote w:id="54">
    <w:p w14:paraId="72708771" w14:textId="4FDE400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note 34, at 1078</w:t>
      </w:r>
      <w:r w:rsidRPr="003F0DD1">
        <w:rPr>
          <w:rFonts w:eastAsia="Arial Unicode MS" w:cs="Times New Roman"/>
          <w:sz w:val="20"/>
          <w:szCs w:val="20"/>
        </w:rPr>
        <w:t>-1079</w:t>
      </w:r>
      <w:r>
        <w:rPr>
          <w:rFonts w:eastAsia="Arial Unicode MS" w:cs="Times New Roman"/>
          <w:sz w:val="20"/>
          <w:szCs w:val="20"/>
        </w:rPr>
        <w:t>.</w:t>
      </w:r>
    </w:p>
  </w:footnote>
  <w:footnote w:id="55">
    <w:p w14:paraId="6208FC80" w14:textId="13F6824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Pr>
          <w:rFonts w:eastAsia="Arial Unicode MS" w:cs="Times New Roman"/>
          <w:sz w:val="20"/>
          <w:szCs w:val="20"/>
        </w:rPr>
        <w:t xml:space="preserve"> </w:t>
      </w:r>
      <w:r w:rsidRPr="0018338E">
        <w:rPr>
          <w:rFonts w:eastAsia="Arial Unicode MS" w:cs="Times New Roman"/>
          <w:i/>
          <w:sz w:val="20"/>
          <w:szCs w:val="20"/>
        </w:rPr>
        <w:t>Id.</w:t>
      </w:r>
      <w:r>
        <w:rPr>
          <w:rFonts w:eastAsia="Arial Unicode MS" w:cs="Times New Roman"/>
          <w:sz w:val="20"/>
          <w:szCs w:val="20"/>
        </w:rPr>
        <w:t>, at</w:t>
      </w:r>
      <w:r w:rsidRPr="003F0DD1">
        <w:rPr>
          <w:rFonts w:eastAsia="Arial Unicode MS" w:cs="Times New Roman"/>
          <w:sz w:val="20"/>
          <w:szCs w:val="20"/>
        </w:rPr>
        <w:t xml:space="preserve"> 1079.</w:t>
      </w:r>
    </w:p>
  </w:footnote>
  <w:footnote w:id="56">
    <w:p w14:paraId="0DCB9D7C" w14:textId="78E175A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CROWD, </w:t>
      </w:r>
      <w:r w:rsidRPr="003F0DD1">
        <w:rPr>
          <w:rFonts w:cs="Times New Roman"/>
          <w:i/>
          <w:iCs/>
          <w:sz w:val="20"/>
          <w:szCs w:val="20"/>
        </w:rPr>
        <w:t xml:space="preserve">supra </w:t>
      </w:r>
      <w:r w:rsidRPr="003F0DD1">
        <w:rPr>
          <w:rFonts w:cs="Times New Roman"/>
          <w:sz w:val="20"/>
          <w:szCs w:val="20"/>
        </w:rPr>
        <w:t xml:space="preserve">note </w:t>
      </w:r>
      <w:r>
        <w:rPr>
          <w:rFonts w:cs="Times New Roman"/>
          <w:sz w:val="20"/>
          <w:szCs w:val="20"/>
        </w:rPr>
        <w:t>40</w:t>
      </w:r>
      <w:r w:rsidRPr="003F0DD1">
        <w:rPr>
          <w:rFonts w:cs="Times New Roman"/>
          <w:sz w:val="20"/>
          <w:szCs w:val="20"/>
        </w:rPr>
        <w:t>, pg. 42; Reducing Disparities</w:t>
      </w:r>
      <w:r w:rsidRPr="003F0DD1">
        <w:rPr>
          <w:rFonts w:cs="Times New Roman"/>
          <w:i/>
          <w:iCs/>
          <w:sz w:val="20"/>
          <w:szCs w:val="20"/>
        </w:rPr>
        <w:t xml:space="preserve">, supra </w:t>
      </w:r>
      <w:r w:rsidRPr="003F0DD1">
        <w:rPr>
          <w:rFonts w:cs="Times New Roman"/>
          <w:sz w:val="20"/>
          <w:szCs w:val="20"/>
        </w:rPr>
        <w:t xml:space="preserve">note </w:t>
      </w:r>
      <w:r>
        <w:rPr>
          <w:rFonts w:cs="Times New Roman"/>
          <w:sz w:val="20"/>
          <w:szCs w:val="20"/>
        </w:rPr>
        <w:t>35</w:t>
      </w:r>
      <w:r w:rsidRPr="003F0DD1">
        <w:rPr>
          <w:rFonts w:cs="Times New Roman"/>
          <w:sz w:val="20"/>
          <w:szCs w:val="20"/>
        </w:rPr>
        <w:t xml:space="preserve"> (noting that studies reveal a lack of training and education on disability issues for physicians); Nechama Greenwood &amp; Joanne Wilkinson, </w:t>
      </w:r>
      <w:r w:rsidRPr="003F0DD1">
        <w:rPr>
          <w:rFonts w:cs="Times New Roman"/>
          <w:i/>
          <w:iCs/>
          <w:sz w:val="20"/>
          <w:szCs w:val="20"/>
        </w:rPr>
        <w:t>Sexual and Reproductive Health Care for Women with Intellectual Disabilities: A Primary Care Perspective</w:t>
      </w:r>
      <w:r w:rsidRPr="003F0DD1">
        <w:rPr>
          <w:rFonts w:cs="Times New Roman"/>
          <w:sz w:val="20"/>
          <w:szCs w:val="20"/>
        </w:rPr>
        <w:t xml:space="preserve">, (Oct. 2013), </w:t>
      </w:r>
      <w:r w:rsidRPr="003F0DD1">
        <w:rPr>
          <w:rFonts w:cs="Times New Roman"/>
          <w:smallCaps/>
          <w:sz w:val="20"/>
          <w:szCs w:val="20"/>
        </w:rPr>
        <w:t>Int’l J. of Fam. Med.</w:t>
      </w:r>
      <w:r w:rsidRPr="003F0DD1">
        <w:rPr>
          <w:rFonts w:cs="Times New Roman"/>
          <w:sz w:val="20"/>
          <w:szCs w:val="20"/>
        </w:rPr>
        <w:t xml:space="preserve"> 2 (showing that a lack of education for health care providers on disability issues creates “barriers to effective healthcare” for persons with intellectual disabilities).</w:t>
      </w:r>
    </w:p>
  </w:footnote>
  <w:footnote w:id="57">
    <w:p w14:paraId="57654F80" w14:textId="3306251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Billup</w:t>
      </w:r>
      <w:r>
        <w:rPr>
          <w:rFonts w:eastAsia="Arial Unicode MS" w:cs="Times New Roman"/>
          <w:sz w:val="20"/>
          <w:szCs w:val="20"/>
        </w:rPr>
        <w:t xml:space="preserve">s, </w:t>
      </w:r>
      <w:r>
        <w:rPr>
          <w:rFonts w:eastAsia="Arial Unicode MS" w:cs="Times New Roman"/>
          <w:i/>
          <w:sz w:val="20"/>
          <w:szCs w:val="20"/>
        </w:rPr>
        <w:t>supra</w:t>
      </w:r>
      <w:r>
        <w:rPr>
          <w:rFonts w:eastAsia="Arial Unicode MS" w:cs="Times New Roman"/>
          <w:sz w:val="20"/>
          <w:szCs w:val="20"/>
        </w:rPr>
        <w:t xml:space="preserve"> note 51</w:t>
      </w:r>
      <w:r w:rsidRPr="003F0DD1">
        <w:rPr>
          <w:rFonts w:eastAsia="Arial Unicode MS" w:cs="Times New Roman"/>
          <w:sz w:val="20"/>
          <w:szCs w:val="20"/>
        </w:rPr>
        <w:t xml:space="preserve">. See also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note 34, at 1057</w:t>
      </w:r>
      <w:r w:rsidRPr="003F0DD1">
        <w:rPr>
          <w:rFonts w:eastAsia="Arial Unicode MS" w:cs="Times New Roman"/>
          <w:sz w:val="20"/>
          <w:szCs w:val="20"/>
        </w:rPr>
        <w:t>.</w:t>
      </w:r>
    </w:p>
  </w:footnote>
  <w:footnote w:id="58">
    <w:p w14:paraId="64A7B6D7"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 xml:space="preserve">See </w:t>
      </w:r>
      <w:r w:rsidRPr="003F0DD1">
        <w:rPr>
          <w:rFonts w:cs="Times New Roman"/>
          <w:sz w:val="20"/>
          <w:szCs w:val="20"/>
        </w:rPr>
        <w:t xml:space="preserve">Kim Best, </w:t>
      </w:r>
      <w:r w:rsidRPr="003F0DD1">
        <w:rPr>
          <w:rFonts w:cs="Times New Roman"/>
          <w:i/>
          <w:iCs/>
          <w:sz w:val="20"/>
          <w:szCs w:val="20"/>
        </w:rPr>
        <w:t>Mental Disabilities Affect Method Options</w:t>
      </w:r>
      <w:r w:rsidRPr="003F0DD1">
        <w:rPr>
          <w:rFonts w:cs="Times New Roman"/>
          <w:sz w:val="20"/>
          <w:szCs w:val="20"/>
        </w:rPr>
        <w:t xml:space="preserve">, 19(2) </w:t>
      </w:r>
      <w:r w:rsidRPr="003F0DD1">
        <w:rPr>
          <w:rFonts w:cs="Times New Roman"/>
          <w:smallCaps/>
          <w:sz w:val="20"/>
          <w:szCs w:val="20"/>
        </w:rPr>
        <w:t>Winter</w:t>
      </w:r>
      <w:r w:rsidRPr="003F0DD1">
        <w:rPr>
          <w:rFonts w:cs="Times New Roman"/>
          <w:sz w:val="20"/>
          <w:szCs w:val="20"/>
        </w:rPr>
        <w:t xml:space="preserve"> 19, 20 (1999).</w:t>
      </w:r>
    </w:p>
  </w:footnote>
  <w:footnote w:id="59">
    <w:p w14:paraId="111E520A" w14:textId="30668AB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w:t>
      </w:r>
      <w:r>
        <w:rPr>
          <w:rFonts w:eastAsia="Arial Unicode MS" w:cs="Times New Roman"/>
          <w:sz w:val="20"/>
          <w:szCs w:val="20"/>
        </w:rPr>
        <w:t xml:space="preserve"> </w:t>
      </w:r>
      <w:r>
        <w:rPr>
          <w:rFonts w:eastAsia="Arial Unicode MS" w:cs="Times New Roman"/>
          <w:i/>
          <w:sz w:val="20"/>
          <w:szCs w:val="20"/>
        </w:rPr>
        <w:t>supra</w:t>
      </w:r>
      <w:r>
        <w:rPr>
          <w:rFonts w:eastAsia="Arial Unicode MS" w:cs="Times New Roman"/>
          <w:sz w:val="20"/>
          <w:szCs w:val="20"/>
        </w:rPr>
        <w:t xml:space="preserve"> note 40,</w:t>
      </w:r>
      <w:r w:rsidRPr="003F0DD1">
        <w:rPr>
          <w:rFonts w:eastAsia="Arial Unicode MS" w:cs="Times New Roman"/>
          <w:sz w:val="20"/>
          <w:szCs w:val="20"/>
        </w:rPr>
        <w:t xml:space="preserve"> at 56.</w:t>
      </w:r>
    </w:p>
  </w:footnote>
  <w:footnote w:id="60">
    <w:p w14:paraId="533E0DB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Sue McGreevey, </w:t>
      </w:r>
      <w:r w:rsidRPr="003F0DD1">
        <w:rPr>
          <w:rFonts w:cs="Times New Roman"/>
          <w:i/>
          <w:iCs/>
          <w:sz w:val="20"/>
          <w:szCs w:val="20"/>
        </w:rPr>
        <w:t>Health Care Disparities for Disabled: People with Disabilities Face Lack of Access to Facilities, Services</w:t>
      </w:r>
      <w:r w:rsidRPr="003F0DD1">
        <w:rPr>
          <w:rFonts w:cs="Times New Roman"/>
          <w:sz w:val="20"/>
          <w:szCs w:val="20"/>
        </w:rPr>
        <w:t xml:space="preserve">, </w:t>
      </w:r>
      <w:r w:rsidRPr="003F0DD1">
        <w:rPr>
          <w:rFonts w:cs="Times New Roman"/>
          <w:smallCaps/>
          <w:sz w:val="20"/>
          <w:szCs w:val="20"/>
        </w:rPr>
        <w:t>Harvard Gazette</w:t>
      </w:r>
      <w:r w:rsidRPr="003F0DD1">
        <w:rPr>
          <w:rFonts w:cs="Times New Roman"/>
          <w:sz w:val="20"/>
          <w:szCs w:val="20"/>
        </w:rPr>
        <w:t xml:space="preserve"> (Oct. 6, 2011). </w:t>
      </w:r>
    </w:p>
  </w:footnote>
  <w:footnote w:id="61">
    <w:p w14:paraId="0EA21023"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Judith Daar, </w:t>
      </w:r>
      <w:r w:rsidRPr="003F0DD1">
        <w:rPr>
          <w:rFonts w:cs="Times New Roman"/>
          <w:i/>
          <w:iCs/>
          <w:sz w:val="20"/>
          <w:szCs w:val="20"/>
        </w:rPr>
        <w:t>Accessing Reproductive Technologies: Invisible Barriers, Indelible Harms</w:t>
      </w:r>
      <w:r w:rsidRPr="003F0DD1">
        <w:rPr>
          <w:rFonts w:cs="Times New Roman"/>
          <w:sz w:val="20"/>
          <w:szCs w:val="20"/>
        </w:rPr>
        <w:t xml:space="preserve">, 23 </w:t>
      </w:r>
      <w:r w:rsidRPr="003F0DD1">
        <w:rPr>
          <w:rFonts w:cs="Times New Roman"/>
          <w:smallCaps/>
          <w:sz w:val="20"/>
          <w:szCs w:val="20"/>
        </w:rPr>
        <w:t>Berkeley J. Gender L. &amp; Just.</w:t>
      </w:r>
      <w:r w:rsidRPr="003F0DD1">
        <w:rPr>
          <w:rFonts w:cs="Times New Roman"/>
          <w:sz w:val="20"/>
          <w:szCs w:val="20"/>
        </w:rPr>
        <w:t xml:space="preserve"> 18, 35 (2008), </w:t>
      </w:r>
      <w:r w:rsidRPr="003F0DD1">
        <w:rPr>
          <w:rFonts w:cs="Times New Roman"/>
          <w:i/>
          <w:iCs/>
          <w:sz w:val="20"/>
          <w:szCs w:val="20"/>
        </w:rPr>
        <w:t>available at</w:t>
      </w:r>
      <w:r w:rsidRPr="003F0DD1">
        <w:rPr>
          <w:rFonts w:cs="Times New Roman"/>
          <w:sz w:val="20"/>
          <w:szCs w:val="20"/>
        </w:rPr>
        <w:t xml:space="preserve"> http://scholarship.law.berkeley.edu/bglj/vol23/iss1/2.</w:t>
      </w:r>
    </w:p>
  </w:footnote>
  <w:footnote w:id="62">
    <w:p w14:paraId="7A51C795"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JoAnn M. Thierry, </w:t>
      </w:r>
      <w:r w:rsidRPr="003F0DD1">
        <w:rPr>
          <w:rFonts w:cs="Times New Roman"/>
          <w:i/>
          <w:iCs/>
          <w:sz w:val="20"/>
          <w:szCs w:val="20"/>
        </w:rPr>
        <w:t>The Importance of Preconception Care for Women With Disabilities</w:t>
      </w:r>
      <w:r w:rsidRPr="003F0DD1">
        <w:rPr>
          <w:rFonts w:cs="Times New Roman"/>
          <w:sz w:val="20"/>
          <w:szCs w:val="20"/>
        </w:rPr>
        <w:t xml:space="preserve">, 10 </w:t>
      </w:r>
      <w:r w:rsidRPr="003F0DD1">
        <w:rPr>
          <w:rFonts w:cs="Times New Roman"/>
          <w:smallCaps/>
          <w:sz w:val="20"/>
          <w:szCs w:val="20"/>
        </w:rPr>
        <w:t>Maternal Child Health J.</w:t>
      </w:r>
      <w:r w:rsidRPr="003F0DD1">
        <w:rPr>
          <w:rFonts w:cs="Times New Roman"/>
          <w:sz w:val="20"/>
          <w:szCs w:val="20"/>
        </w:rPr>
        <w:t xml:space="preserve"> S175 (2006); </w:t>
      </w:r>
      <w:r w:rsidRPr="003F0DD1">
        <w:rPr>
          <w:rFonts w:cs="Times New Roman"/>
          <w:smallCaps/>
          <w:sz w:val="20"/>
          <w:szCs w:val="20"/>
        </w:rPr>
        <w:t>Judith Rogers, The Disabled Woman’s Guide to Pregnancy and Birth</w:t>
      </w:r>
      <w:r w:rsidRPr="003F0DD1">
        <w:rPr>
          <w:rFonts w:cs="Times New Roman"/>
          <w:i/>
          <w:iCs/>
          <w:sz w:val="20"/>
          <w:szCs w:val="20"/>
        </w:rPr>
        <w:t xml:space="preserve"> </w:t>
      </w:r>
      <w:r w:rsidRPr="003F0DD1">
        <w:rPr>
          <w:rFonts w:cs="Times New Roman"/>
          <w:sz w:val="20"/>
          <w:szCs w:val="20"/>
        </w:rPr>
        <w:t xml:space="preserve">94 (2005). </w:t>
      </w:r>
      <w:r w:rsidRPr="003F0DD1">
        <w:rPr>
          <w:rFonts w:cs="Times New Roman"/>
          <w:i/>
          <w:iCs/>
          <w:sz w:val="20"/>
          <w:szCs w:val="20"/>
        </w:rPr>
        <w:t xml:space="preserve">See also </w:t>
      </w:r>
      <w:r w:rsidRPr="003F0DD1">
        <w:rPr>
          <w:rFonts w:cs="Times New Roman"/>
          <w:sz w:val="20"/>
          <w:szCs w:val="20"/>
        </w:rPr>
        <w:t xml:space="preserve">Erin E. Andrews, Pregnancy with a physical disability: One psychologist's journey, Spotlight on Disability Newsletter (Dec. 2011), </w:t>
      </w:r>
      <w:r w:rsidRPr="003F0DD1">
        <w:rPr>
          <w:rFonts w:cs="Times New Roman"/>
          <w:i/>
          <w:iCs/>
          <w:sz w:val="20"/>
          <w:szCs w:val="20"/>
        </w:rPr>
        <w:t>available at</w:t>
      </w:r>
      <w:r w:rsidRPr="003F0DD1">
        <w:rPr>
          <w:rFonts w:cs="Times New Roman"/>
          <w:sz w:val="20"/>
          <w:szCs w:val="20"/>
        </w:rPr>
        <w:t xml:space="preserve"> http://www.apa.org/pi/disability/resources/publications/newsletter/2011/12/pregnancy-disability.aspx.</w:t>
      </w:r>
    </w:p>
  </w:footnote>
  <w:footnote w:id="63">
    <w:p w14:paraId="2E629A2A" w14:textId="38A0C55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 xml:space="preserve">note 34, at </w:t>
      </w:r>
      <w:r w:rsidRPr="003F0DD1">
        <w:rPr>
          <w:rFonts w:eastAsia="Arial Unicode MS" w:cs="Times New Roman"/>
          <w:sz w:val="20"/>
          <w:szCs w:val="20"/>
        </w:rPr>
        <w:t>56.</w:t>
      </w:r>
    </w:p>
  </w:footnote>
  <w:footnote w:id="64">
    <w:p w14:paraId="17C0FAA0" w14:textId="5F3CBC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Forgotten Sisters</w:t>
      </w:r>
      <w:r>
        <w:rPr>
          <w:rFonts w:cs="Times New Roman"/>
          <w:sz w:val="20"/>
          <w:szCs w:val="20"/>
        </w:rPr>
        <w:t xml:space="preserve">, </w:t>
      </w:r>
      <w:r>
        <w:rPr>
          <w:rFonts w:cs="Times New Roman"/>
          <w:i/>
          <w:sz w:val="20"/>
          <w:szCs w:val="20"/>
        </w:rPr>
        <w:t xml:space="preserve">supra </w:t>
      </w:r>
      <w:r>
        <w:rPr>
          <w:rFonts w:cs="Times New Roman"/>
          <w:sz w:val="20"/>
          <w:szCs w:val="20"/>
        </w:rPr>
        <w:t>note 30</w:t>
      </w:r>
      <w:r w:rsidRPr="003F0DD1">
        <w:rPr>
          <w:rFonts w:cs="Times New Roman"/>
          <w:color w:val="0000FF"/>
          <w:sz w:val="20"/>
          <w:szCs w:val="20"/>
          <w:u w:color="0000FF"/>
        </w:rPr>
        <w:t>.</w:t>
      </w:r>
    </w:p>
  </w:footnote>
  <w:footnote w:id="65">
    <w:p w14:paraId="615B9CE5" w14:textId="2FA92B1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Sexual Violence Against Individuals with Disabilities</w:t>
      </w:r>
      <w:r w:rsidRPr="003F0DD1">
        <w:rPr>
          <w:rFonts w:cs="Times New Roman"/>
          <w:sz w:val="20"/>
          <w:szCs w:val="20"/>
        </w:rPr>
        <w:t xml:space="preserve">, </w:t>
      </w:r>
      <w:r w:rsidRPr="003F0DD1">
        <w:rPr>
          <w:rFonts w:cs="Times New Roman"/>
          <w:smallCaps/>
          <w:sz w:val="20"/>
          <w:szCs w:val="20"/>
        </w:rPr>
        <w:t>Maine Coalition Against Sexual Assault</w:t>
      </w:r>
      <w:r w:rsidRPr="003F0DD1">
        <w:rPr>
          <w:rFonts w:cs="Times New Roman"/>
          <w:sz w:val="20"/>
          <w:szCs w:val="20"/>
        </w:rPr>
        <w:t xml:space="preserve">, </w:t>
      </w:r>
      <w:r>
        <w:rPr>
          <w:rFonts w:cs="Times New Roman"/>
          <w:i/>
          <w:sz w:val="20"/>
          <w:szCs w:val="20"/>
        </w:rPr>
        <w:t xml:space="preserve">available at </w:t>
      </w:r>
      <w:hyperlink r:id="rId3" w:history="1">
        <w:r w:rsidRPr="003F0DD1">
          <w:rPr>
            <w:rStyle w:val="Hyperlink1"/>
            <w:rFonts w:cs="Times New Roman"/>
          </w:rPr>
          <w:t>http://www.mecasa.org/index.php/special-projects/individuals-with-disabilities</w:t>
        </w:r>
      </w:hyperlink>
      <w:r w:rsidRPr="003F0DD1">
        <w:rPr>
          <w:rFonts w:cs="Times New Roman"/>
          <w:color w:val="0000FF"/>
          <w:sz w:val="20"/>
          <w:szCs w:val="20"/>
          <w:u w:color="0000FF"/>
        </w:rPr>
        <w:t>.</w:t>
      </w:r>
    </w:p>
  </w:footnote>
  <w:footnote w:id="66">
    <w:p w14:paraId="129EF60E" w14:textId="56403B5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18338E">
        <w:rPr>
          <w:rFonts w:cs="Times New Roman"/>
          <w:i/>
          <w:iCs/>
          <w:sz w:val="20"/>
          <w:szCs w:val="20"/>
        </w:rPr>
        <w:t>Id</w:t>
      </w:r>
      <w:r w:rsidRPr="003F0DD1">
        <w:rPr>
          <w:rFonts w:cs="Times New Roman"/>
          <w:color w:val="0000FF"/>
          <w:sz w:val="20"/>
          <w:szCs w:val="20"/>
          <w:u w:color="0000FF"/>
        </w:rPr>
        <w:t>.</w:t>
      </w:r>
    </w:p>
  </w:footnote>
  <w:footnote w:id="67">
    <w:p w14:paraId="77522A09"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z w:val="20"/>
          <w:szCs w:val="20"/>
          <w:shd w:val="clear" w:color="auto" w:fill="FFFFFF"/>
        </w:rPr>
        <w:t>Margaret Nosek et al., </w:t>
      </w:r>
      <w:r w:rsidRPr="003F0DD1">
        <w:rPr>
          <w:rFonts w:eastAsia="Arial Unicode MS" w:cs="Times New Roman"/>
          <w:i/>
          <w:iCs/>
          <w:sz w:val="20"/>
          <w:szCs w:val="20"/>
          <w:shd w:val="clear" w:color="auto" w:fill="FFFFFF"/>
        </w:rPr>
        <w:t>Vulnerabilities for Abuse Among Women with Disabilities</w:t>
      </w:r>
      <w:r w:rsidRPr="003F0DD1">
        <w:rPr>
          <w:rFonts w:cs="Times New Roman"/>
          <w:sz w:val="20"/>
          <w:szCs w:val="20"/>
          <w:shd w:val="clear" w:color="auto" w:fill="FFFFFF"/>
        </w:rPr>
        <w:t>, 19 </w:t>
      </w:r>
      <w:r w:rsidRPr="003F0DD1">
        <w:rPr>
          <w:rFonts w:cs="Times New Roman"/>
          <w:smallCaps/>
          <w:sz w:val="20"/>
          <w:szCs w:val="20"/>
          <w:shd w:val="clear" w:color="auto" w:fill="FFFFFF"/>
        </w:rPr>
        <w:t>Sexuality &amp; Disability</w:t>
      </w:r>
      <w:r w:rsidRPr="003F0DD1">
        <w:rPr>
          <w:rFonts w:cs="Times New Roman"/>
          <w:sz w:val="20"/>
          <w:szCs w:val="20"/>
          <w:shd w:val="clear" w:color="auto" w:fill="FFFFFF"/>
        </w:rPr>
        <w:t> 177 (2001).</w:t>
      </w:r>
    </w:p>
  </w:footnote>
  <w:footnote w:id="68">
    <w:p w14:paraId="262388E4"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K.A. Barrett, et al., </w:t>
      </w:r>
      <w:r w:rsidRPr="003F0DD1">
        <w:rPr>
          <w:rFonts w:cs="Times New Roman"/>
          <w:i/>
          <w:iCs/>
          <w:sz w:val="20"/>
          <w:szCs w:val="20"/>
        </w:rPr>
        <w:t>Intimate Partner Violence, Health Status, and Health Care Access Among Women with Disabilities</w:t>
      </w:r>
      <w:r w:rsidRPr="003F0DD1">
        <w:rPr>
          <w:rFonts w:cs="Times New Roman"/>
          <w:sz w:val="20"/>
          <w:szCs w:val="20"/>
        </w:rPr>
        <w:t xml:space="preserve">, 19 </w:t>
      </w:r>
      <w:r w:rsidRPr="003F0DD1">
        <w:rPr>
          <w:rFonts w:cs="Times New Roman"/>
          <w:smallCaps/>
          <w:sz w:val="20"/>
          <w:szCs w:val="20"/>
        </w:rPr>
        <w:t>Women’s Health Issues</w:t>
      </w:r>
      <w:r w:rsidRPr="003F0DD1">
        <w:rPr>
          <w:rFonts w:cs="Times New Roman"/>
          <w:sz w:val="20"/>
          <w:szCs w:val="20"/>
        </w:rPr>
        <w:t xml:space="preserve"> 94 (2009).</w:t>
      </w:r>
    </w:p>
  </w:footnote>
  <w:footnote w:id="69">
    <w:p w14:paraId="3C4762C7" w14:textId="6466BBA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18338E">
        <w:rPr>
          <w:rFonts w:cs="Times New Roman"/>
          <w:iCs/>
          <w:sz w:val="20"/>
          <w:szCs w:val="20"/>
        </w:rPr>
        <w:t>Sexual Harassment, Sexual Assault, and Students with Special Needs</w:t>
      </w:r>
      <w:r>
        <w:rPr>
          <w:rFonts w:cs="Times New Roman"/>
          <w:iCs/>
          <w:sz w:val="20"/>
          <w:szCs w:val="20"/>
        </w:rPr>
        <w:t xml:space="preserve">, </w:t>
      </w:r>
      <w:r>
        <w:rPr>
          <w:rFonts w:cs="Times New Roman"/>
          <w:i/>
          <w:iCs/>
          <w:sz w:val="20"/>
          <w:szCs w:val="20"/>
        </w:rPr>
        <w:t>supra</w:t>
      </w:r>
      <w:r>
        <w:rPr>
          <w:rFonts w:cs="Times New Roman"/>
          <w:iCs/>
          <w:sz w:val="20"/>
          <w:szCs w:val="20"/>
        </w:rPr>
        <w:t xml:space="preserve"> note 30, at</w:t>
      </w:r>
      <w:r w:rsidRPr="003F0DD1">
        <w:rPr>
          <w:rFonts w:eastAsia="Arial Unicode MS" w:cs="Times New Roman"/>
          <w:smallCaps/>
          <w:sz w:val="20"/>
          <w:szCs w:val="20"/>
        </w:rPr>
        <w:t xml:space="preserve"> 5</w:t>
      </w:r>
      <w:r w:rsidRPr="003F0DD1">
        <w:rPr>
          <w:rFonts w:eastAsia="Arial Unicode MS" w:cs="Times New Roman"/>
          <w:sz w:val="20"/>
          <w:szCs w:val="20"/>
        </w:rPr>
        <w:t>.</w:t>
      </w:r>
    </w:p>
  </w:footnote>
  <w:footnote w:id="70">
    <w:p w14:paraId="19A53ED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Melissa Anderson et al., </w:t>
      </w:r>
      <w:r w:rsidRPr="003F0DD1">
        <w:rPr>
          <w:rFonts w:cs="Times New Roman"/>
          <w:i/>
          <w:iCs/>
          <w:sz w:val="20"/>
          <w:szCs w:val="20"/>
        </w:rPr>
        <w:t>Interpersonal Violence Against Deaf Women</w:t>
      </w:r>
      <w:r w:rsidRPr="003F0DD1">
        <w:rPr>
          <w:rFonts w:cs="Times New Roman"/>
          <w:sz w:val="20"/>
          <w:szCs w:val="20"/>
        </w:rPr>
        <w:t xml:space="preserve">, 16 </w:t>
      </w:r>
      <w:r w:rsidRPr="003F0DD1">
        <w:rPr>
          <w:rFonts w:cs="Times New Roman"/>
          <w:smallCaps/>
          <w:sz w:val="20"/>
          <w:szCs w:val="20"/>
        </w:rPr>
        <w:t>Aggression &amp; Violent Behavior</w:t>
      </w:r>
      <w:r w:rsidRPr="003F0DD1">
        <w:rPr>
          <w:rFonts w:cs="Times New Roman"/>
          <w:sz w:val="20"/>
          <w:szCs w:val="20"/>
        </w:rPr>
        <w:t xml:space="preserve"> 200, 203 (2011). </w:t>
      </w:r>
    </w:p>
  </w:footnote>
  <w:footnote w:id="71">
    <w:p w14:paraId="73698491" w14:textId="77E981E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Sexual Harassment, Sexual Assault, and Students with Special Needs, </w:t>
      </w:r>
      <w:r w:rsidRPr="003F0DD1">
        <w:rPr>
          <w:rFonts w:eastAsia="Arial Unicode MS" w:cs="Times New Roman"/>
          <w:i/>
          <w:sz w:val="20"/>
          <w:szCs w:val="20"/>
        </w:rPr>
        <w:t>supra</w:t>
      </w:r>
      <w:r w:rsidRPr="003F0DD1">
        <w:rPr>
          <w:rFonts w:eastAsia="Arial Unicode MS" w:cs="Times New Roman"/>
          <w:sz w:val="20"/>
          <w:szCs w:val="20"/>
        </w:rPr>
        <w:t xml:space="preserve"> note </w:t>
      </w:r>
      <w:r>
        <w:rPr>
          <w:rFonts w:eastAsia="Arial Unicode MS" w:cs="Times New Roman"/>
          <w:sz w:val="20"/>
          <w:szCs w:val="20"/>
        </w:rPr>
        <w:t>3</w:t>
      </w:r>
      <w:r w:rsidRPr="003F0DD1">
        <w:rPr>
          <w:rFonts w:eastAsia="Arial Unicode MS" w:cs="Times New Roman"/>
          <w:sz w:val="20"/>
          <w:szCs w:val="20"/>
        </w:rPr>
        <w:t xml:space="preserve">0, at 3-4. </w:t>
      </w:r>
    </w:p>
  </w:footnote>
  <w:footnote w:id="72">
    <w:p w14:paraId="320F982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Jonathan Young et al., </w:t>
      </w:r>
      <w:r w:rsidRPr="003F0DD1">
        <w:rPr>
          <w:rFonts w:cs="Times New Roman"/>
          <w:i/>
          <w:iCs/>
          <w:sz w:val="20"/>
          <w:szCs w:val="20"/>
        </w:rPr>
        <w:t>Briefing Paper: Bullying and Students with Disabilities</w:t>
      </w:r>
      <w:r w:rsidRPr="003F0DD1">
        <w:rPr>
          <w:rFonts w:cs="Times New Roman"/>
          <w:sz w:val="20"/>
          <w:szCs w:val="20"/>
        </w:rPr>
        <w:t xml:space="preserve">, Nat’l Council on Disability, (2011) (discussing bullying in the United States); </w:t>
      </w:r>
      <w:r w:rsidRPr="003F0DD1">
        <w:rPr>
          <w:rFonts w:cs="Times New Roman"/>
          <w:i/>
          <w:iCs/>
          <w:sz w:val="20"/>
          <w:szCs w:val="20"/>
        </w:rPr>
        <w:t>see also</w:t>
      </w:r>
      <w:r w:rsidRPr="003F0DD1">
        <w:rPr>
          <w:rFonts w:cs="Times New Roman"/>
          <w:sz w:val="20"/>
          <w:szCs w:val="20"/>
        </w:rPr>
        <w:t xml:space="preserve"> Laetitia Antonowicz, </w:t>
      </w:r>
      <w:r w:rsidRPr="003F0DD1">
        <w:rPr>
          <w:rFonts w:cs="Times New Roman"/>
          <w:i/>
          <w:iCs/>
          <w:sz w:val="20"/>
          <w:szCs w:val="20"/>
        </w:rPr>
        <w:t>Too Often in Silence: A Report on School-Based Violence in West and Central Africa</w:t>
      </w:r>
      <w:r w:rsidRPr="003F0DD1">
        <w:rPr>
          <w:rFonts w:cs="Times New Roman"/>
          <w:sz w:val="20"/>
          <w:szCs w:val="20"/>
        </w:rPr>
        <w:t xml:space="preserve">, UNICEF 35 (Mar. 2010). </w:t>
      </w:r>
    </w:p>
  </w:footnote>
  <w:footnote w:id="73">
    <w:p w14:paraId="1B4DC699" w14:textId="43E6DAE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Sexual Harassment, Sexual Assault, and Students with Special Needs, </w:t>
      </w:r>
      <w:r w:rsidRPr="003F0DD1">
        <w:rPr>
          <w:rFonts w:eastAsia="Arial Unicode MS" w:cs="Times New Roman"/>
          <w:i/>
          <w:sz w:val="20"/>
          <w:szCs w:val="20"/>
        </w:rPr>
        <w:t>supra</w:t>
      </w:r>
      <w:r w:rsidRPr="003F0DD1">
        <w:rPr>
          <w:rFonts w:eastAsia="Arial Unicode MS" w:cs="Times New Roman"/>
          <w:sz w:val="20"/>
          <w:szCs w:val="20"/>
        </w:rPr>
        <w:t xml:space="preserve"> note </w:t>
      </w:r>
      <w:r>
        <w:rPr>
          <w:rFonts w:eastAsia="Arial Unicode MS" w:cs="Times New Roman"/>
          <w:sz w:val="20"/>
          <w:szCs w:val="20"/>
        </w:rPr>
        <w:t>3</w:t>
      </w:r>
      <w:r w:rsidRPr="003F0DD1">
        <w:rPr>
          <w:rFonts w:eastAsia="Arial Unicode MS" w:cs="Times New Roman"/>
          <w:sz w:val="20"/>
          <w:szCs w:val="20"/>
        </w:rPr>
        <w:t xml:space="preserve">0, at </w:t>
      </w:r>
      <w:r w:rsidRPr="003F0DD1">
        <w:rPr>
          <w:rFonts w:eastAsia="Arial Unicode MS" w:cs="Times New Roman"/>
          <w:smallCaps/>
          <w:sz w:val="20"/>
          <w:szCs w:val="20"/>
        </w:rPr>
        <w:t>5</w:t>
      </w:r>
      <w:r w:rsidRPr="003F0DD1">
        <w:rPr>
          <w:rFonts w:eastAsia="Arial Unicode MS" w:cs="Times New Roman"/>
          <w:sz w:val="20"/>
          <w:szCs w:val="20"/>
        </w:rPr>
        <w:t>.</w:t>
      </w:r>
    </w:p>
  </w:footnote>
  <w:footnote w:id="74">
    <w:p w14:paraId="11C8A3AB" w14:textId="03967436"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United Nations Office on Drugs and Crime (UNODC), </w:t>
      </w:r>
      <w:r w:rsidRPr="003F0DD1">
        <w:rPr>
          <w:rFonts w:cs="Times New Roman"/>
          <w:i/>
          <w:iCs/>
          <w:sz w:val="20"/>
          <w:szCs w:val="20"/>
        </w:rPr>
        <w:t>Handbook on Prisoners with Special Needs</w:t>
      </w:r>
      <w:r w:rsidRPr="003F0DD1">
        <w:rPr>
          <w:rFonts w:cs="Times New Roman"/>
          <w:sz w:val="20"/>
          <w:szCs w:val="20"/>
        </w:rPr>
        <w:t>, at 45 (2009).</w:t>
      </w:r>
    </w:p>
  </w:footnote>
  <w:footnote w:id="75">
    <w:p w14:paraId="593B808E" w14:textId="11E332CD"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UNODC, </w:t>
      </w:r>
      <w:r w:rsidRPr="003F0DD1">
        <w:rPr>
          <w:rFonts w:cs="Times New Roman"/>
          <w:i/>
          <w:iCs/>
          <w:sz w:val="20"/>
          <w:szCs w:val="20"/>
        </w:rPr>
        <w:t>Handbook for Prison Managers and Policymakers on Women and Imprisonment</w:t>
      </w:r>
      <w:r w:rsidRPr="003F0DD1">
        <w:rPr>
          <w:rFonts w:cs="Times New Roman"/>
          <w:sz w:val="20"/>
          <w:szCs w:val="20"/>
        </w:rPr>
        <w:t>, at 45 (2009)</w:t>
      </w:r>
      <w:r>
        <w:rPr>
          <w:rFonts w:cs="Times New Roman"/>
          <w:sz w:val="20"/>
          <w:szCs w:val="20"/>
        </w:rPr>
        <w:t xml:space="preserve"> (</w:t>
      </w:r>
      <w:r>
        <w:rPr>
          <w:rFonts w:cs="Times New Roman"/>
          <w:i/>
          <w:sz w:val="20"/>
          <w:szCs w:val="20"/>
        </w:rPr>
        <w:t>hereinafter</w:t>
      </w:r>
      <w:r>
        <w:rPr>
          <w:rFonts w:cs="Times New Roman"/>
          <w:sz w:val="20"/>
          <w:szCs w:val="20"/>
        </w:rPr>
        <w:t xml:space="preserve"> UNODC, Handbook for Prison Managers)</w:t>
      </w:r>
      <w:r w:rsidRPr="003F0DD1">
        <w:rPr>
          <w:rFonts w:cs="Times New Roman"/>
          <w:sz w:val="20"/>
          <w:szCs w:val="20"/>
        </w:rPr>
        <w:t>.</w:t>
      </w:r>
    </w:p>
  </w:footnote>
  <w:footnote w:id="76">
    <w:p w14:paraId="5ABFB295" w14:textId="3785A07F"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Beth Ribet, </w:t>
      </w:r>
      <w:r w:rsidRPr="003F0DD1">
        <w:rPr>
          <w:rFonts w:cs="Times New Roman"/>
          <w:i/>
          <w:iCs/>
          <w:sz w:val="20"/>
          <w:szCs w:val="20"/>
        </w:rPr>
        <w:t>Naming Prison Rape as Disablement: A Critical Analysis of the Prison Litigation Reform Act, the Americans with Disability Act, and the Imperatives of Survivor-Oriented Advocacy</w:t>
      </w:r>
      <w:r w:rsidRPr="003F0DD1">
        <w:rPr>
          <w:rFonts w:cs="Times New Roman"/>
          <w:sz w:val="20"/>
          <w:szCs w:val="20"/>
        </w:rPr>
        <w:t xml:space="preserve">, 17 </w:t>
      </w:r>
      <w:r w:rsidRPr="003F0DD1">
        <w:rPr>
          <w:rFonts w:cs="Times New Roman"/>
          <w:smallCaps/>
          <w:sz w:val="20"/>
          <w:szCs w:val="20"/>
        </w:rPr>
        <w:t>Va. J. Soc. Pol’y &amp; L.</w:t>
      </w:r>
      <w:r>
        <w:rPr>
          <w:rFonts w:cs="Times New Roman"/>
          <w:sz w:val="20"/>
          <w:szCs w:val="20"/>
        </w:rPr>
        <w:t xml:space="preserve"> 281, 294 (2010).</w:t>
      </w:r>
    </w:p>
  </w:footnote>
  <w:footnote w:id="77">
    <w:p w14:paraId="0732E6A8" w14:textId="2AFC8493"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PREA</w:t>
      </w:r>
      <w:r>
        <w:rPr>
          <w:rFonts w:cs="Times New Roman"/>
          <w:sz w:val="20"/>
          <w:szCs w:val="20"/>
        </w:rPr>
        <w:t xml:space="preserve">, </w:t>
      </w:r>
      <w:r>
        <w:rPr>
          <w:rFonts w:cs="Times New Roman"/>
          <w:i/>
          <w:sz w:val="20"/>
          <w:szCs w:val="20"/>
        </w:rPr>
        <w:t>supra</w:t>
      </w:r>
      <w:r>
        <w:rPr>
          <w:rFonts w:cs="Times New Roman"/>
          <w:sz w:val="20"/>
          <w:szCs w:val="20"/>
        </w:rPr>
        <w:t xml:space="preserve"> note 20</w:t>
      </w:r>
      <w:r w:rsidRPr="003F0DD1">
        <w:rPr>
          <w:rFonts w:cs="Times New Roman"/>
          <w:sz w:val="20"/>
          <w:szCs w:val="20"/>
        </w:rPr>
        <w:t>.</w:t>
      </w:r>
    </w:p>
  </w:footnote>
  <w:footnote w:id="78">
    <w:p w14:paraId="46C77D6B" w14:textId="318D397D"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Pr>
          <w:rFonts w:cs="Times New Roman"/>
          <w:sz w:val="20"/>
          <w:szCs w:val="20"/>
        </w:rPr>
        <w:t xml:space="preserve"> UNODC</w:t>
      </w:r>
      <w:r w:rsidRPr="003F0DD1">
        <w:rPr>
          <w:rFonts w:cs="Times New Roman"/>
          <w:sz w:val="20"/>
          <w:szCs w:val="20"/>
        </w:rPr>
        <w:t xml:space="preserve">, </w:t>
      </w:r>
      <w:r w:rsidRPr="0064077B">
        <w:rPr>
          <w:rFonts w:cs="Times New Roman"/>
          <w:iCs/>
          <w:sz w:val="20"/>
          <w:szCs w:val="20"/>
        </w:rPr>
        <w:t>Handbook for Prison Managers</w:t>
      </w:r>
      <w:r w:rsidRPr="003F0DD1">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75,</w:t>
      </w:r>
      <w:r w:rsidRPr="003F0DD1">
        <w:rPr>
          <w:rFonts w:cs="Times New Roman"/>
          <w:sz w:val="20"/>
          <w:szCs w:val="20"/>
        </w:rPr>
        <w:t xml:space="preserve"> at 288.</w:t>
      </w:r>
    </w:p>
  </w:footnote>
  <w:footnote w:id="79">
    <w:p w14:paraId="6E234929" w14:textId="7D4766CE"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Pr>
          <w:rFonts w:cs="Times New Roman"/>
          <w:sz w:val="20"/>
          <w:szCs w:val="20"/>
        </w:rPr>
        <w:t>,</w:t>
      </w:r>
      <w:r w:rsidRPr="003F0DD1">
        <w:rPr>
          <w:rFonts w:cs="Times New Roman"/>
          <w:sz w:val="20"/>
          <w:szCs w:val="20"/>
        </w:rPr>
        <w:t xml:space="preserve"> at 288-89.</w:t>
      </w:r>
    </w:p>
  </w:footnote>
  <w:footnote w:id="80">
    <w:p w14:paraId="5ABA9B2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Julia A. Rivera Drew, </w:t>
      </w:r>
      <w:r w:rsidRPr="003F0DD1">
        <w:rPr>
          <w:rFonts w:cs="Times New Roman"/>
          <w:i/>
          <w:iCs/>
          <w:sz w:val="20"/>
          <w:szCs w:val="20"/>
        </w:rPr>
        <w:t>Hysterectomy and Disability Among U.S. Women</w:t>
      </w:r>
      <w:r w:rsidRPr="003F0DD1">
        <w:rPr>
          <w:rFonts w:cs="Times New Roman"/>
          <w:sz w:val="20"/>
          <w:szCs w:val="20"/>
        </w:rPr>
        <w:t xml:space="preserve">, 45 </w:t>
      </w:r>
      <w:r w:rsidRPr="003F0DD1">
        <w:rPr>
          <w:rFonts w:cs="Times New Roman"/>
          <w:smallCaps/>
          <w:sz w:val="20"/>
          <w:szCs w:val="20"/>
        </w:rPr>
        <w:t>Persp. on Sexual and Reprod. Health</w:t>
      </w:r>
      <w:r w:rsidRPr="003F0DD1">
        <w:rPr>
          <w:rFonts w:cs="Times New Roman"/>
          <w:sz w:val="20"/>
          <w:szCs w:val="20"/>
        </w:rPr>
        <w:t xml:space="preserve"> 157, 161 (2013); Elizabeth Pendo, </w:t>
      </w:r>
      <w:r w:rsidRPr="003F0DD1">
        <w:rPr>
          <w:rFonts w:cs="Times New Roman"/>
          <w:i/>
          <w:iCs/>
          <w:sz w:val="20"/>
          <w:szCs w:val="20"/>
        </w:rPr>
        <w:t>Disability, Equipment Barriers, and Women’s Health: Using the ADA to Provide Meaningful Access</w:t>
      </w:r>
      <w:r w:rsidRPr="003F0DD1">
        <w:rPr>
          <w:rFonts w:cs="Times New Roman"/>
          <w:sz w:val="20"/>
          <w:szCs w:val="20"/>
        </w:rPr>
        <w:t xml:space="preserve">, 2 </w:t>
      </w:r>
      <w:r w:rsidRPr="003F0DD1">
        <w:rPr>
          <w:rFonts w:cs="Times New Roman"/>
          <w:smallCaps/>
          <w:sz w:val="20"/>
          <w:szCs w:val="20"/>
        </w:rPr>
        <w:t>SLU Journal of Health Law &amp; Policy 44-45</w:t>
      </w:r>
      <w:r w:rsidRPr="003F0DD1">
        <w:rPr>
          <w:rFonts w:cs="Times New Roman"/>
          <w:sz w:val="20"/>
          <w:szCs w:val="20"/>
        </w:rPr>
        <w:t xml:space="preserve"> (2008) </w:t>
      </w:r>
      <w:r w:rsidRPr="003F0DD1">
        <w:rPr>
          <w:rFonts w:cs="Times New Roman"/>
          <w:i/>
          <w:iCs/>
          <w:sz w:val="20"/>
          <w:szCs w:val="20"/>
        </w:rPr>
        <w:t>available at</w:t>
      </w:r>
      <w:r w:rsidRPr="003F0DD1">
        <w:rPr>
          <w:rFonts w:cs="Times New Roman"/>
          <w:sz w:val="20"/>
          <w:szCs w:val="20"/>
        </w:rPr>
        <w:t xml:space="preserve"> </w:t>
      </w:r>
      <w:hyperlink r:id="rId4" w:history="1">
        <w:r w:rsidRPr="003F0DD1">
          <w:rPr>
            <w:rStyle w:val="Hyperlink1"/>
            <w:rFonts w:cs="Times New Roman"/>
          </w:rPr>
          <w:t>http://ssrn.com/abstract=1435543</w:t>
        </w:r>
      </w:hyperlink>
      <w:r w:rsidRPr="003F0DD1">
        <w:rPr>
          <w:rFonts w:cs="Times New Roman"/>
          <w:sz w:val="20"/>
          <w:szCs w:val="20"/>
        </w:rPr>
        <w:t>.</w:t>
      </w:r>
    </w:p>
  </w:footnote>
  <w:footnote w:id="81">
    <w:p w14:paraId="43E04C7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Ed Pilkington &amp; Karen McVeigh, </w:t>
      </w:r>
      <w:r w:rsidRPr="003F0DD1">
        <w:rPr>
          <w:rFonts w:cs="Times New Roman"/>
          <w:i/>
          <w:iCs/>
          <w:sz w:val="20"/>
          <w:szCs w:val="20"/>
        </w:rPr>
        <w:t>‘Ashley Treatment’ on the Rise Amid Concerns from Disability Rights Groups</w:t>
      </w:r>
      <w:r w:rsidRPr="003F0DD1">
        <w:rPr>
          <w:rFonts w:cs="Times New Roman"/>
          <w:sz w:val="20"/>
          <w:szCs w:val="20"/>
        </w:rPr>
        <w:t xml:space="preserve">, </w:t>
      </w:r>
      <w:r w:rsidRPr="003F0DD1">
        <w:rPr>
          <w:rFonts w:cs="Times New Roman"/>
          <w:smallCaps/>
          <w:sz w:val="20"/>
          <w:szCs w:val="20"/>
        </w:rPr>
        <w:t>The Guardian</w:t>
      </w:r>
      <w:r w:rsidRPr="003F0DD1">
        <w:rPr>
          <w:rFonts w:cs="Times New Roman"/>
          <w:sz w:val="20"/>
          <w:szCs w:val="20"/>
        </w:rPr>
        <w:t xml:space="preserve"> (Mar. 15, 2012), </w:t>
      </w:r>
      <w:hyperlink r:id="rId5" w:history="1">
        <w:r w:rsidRPr="003F0DD1">
          <w:rPr>
            <w:rStyle w:val="Hyperlink1"/>
            <w:rFonts w:cs="Times New Roman"/>
          </w:rPr>
          <w:t>http://www.guardian.co.uk/society/2012/mar/15/ashley-treatment-rise-amid-concerns/print</w:t>
        </w:r>
      </w:hyperlink>
      <w:r w:rsidRPr="003F0DD1">
        <w:rPr>
          <w:rFonts w:cs="Times New Roman"/>
          <w:sz w:val="20"/>
          <w:szCs w:val="20"/>
        </w:rPr>
        <w:t xml:space="preserve">. </w:t>
      </w:r>
    </w:p>
  </w:footnote>
  <w:footnote w:id="82">
    <w:p w14:paraId="0EE33F44" w14:textId="274ACED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 xml:space="preserve">. </w:t>
      </w:r>
    </w:p>
  </w:footnote>
  <w:footnote w:id="83">
    <w:p w14:paraId="3EFEBDB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lang w:val="da-DK"/>
        </w:rPr>
        <w:t xml:space="preserve"> Anne Finger, </w:t>
      </w:r>
      <w:r w:rsidRPr="003F0DD1">
        <w:rPr>
          <w:rFonts w:ascii="Times New Roman" w:hAnsi="Times New Roman" w:cs="Times New Roman"/>
          <w:i/>
          <w:iCs/>
          <w:sz w:val="20"/>
          <w:szCs w:val="20"/>
          <w:lang w:val="nl-NL"/>
        </w:rPr>
        <w:t>Forbidden Fruit</w:t>
      </w:r>
      <w:r w:rsidRPr="003F0DD1">
        <w:rPr>
          <w:rFonts w:ascii="Times New Roman" w:hAnsi="Times New Roman" w:cs="Times New Roman"/>
          <w:sz w:val="20"/>
          <w:szCs w:val="20"/>
        </w:rPr>
        <w:t xml:space="preserve">, 233 </w:t>
      </w:r>
      <w:r w:rsidRPr="003F0DD1">
        <w:rPr>
          <w:rFonts w:ascii="Times New Roman" w:hAnsi="Times New Roman" w:cs="Times New Roman"/>
          <w:smallCaps/>
          <w:sz w:val="20"/>
          <w:szCs w:val="20"/>
        </w:rPr>
        <w:t>The New Internationalist</w:t>
      </w:r>
      <w:r w:rsidRPr="003F0DD1">
        <w:rPr>
          <w:rFonts w:ascii="Times New Roman" w:hAnsi="Times New Roman" w:cs="Times New Roman"/>
          <w:sz w:val="20"/>
          <w:szCs w:val="20"/>
        </w:rPr>
        <w:t xml:space="preserve"> (July 1992) </w:t>
      </w:r>
      <w:r w:rsidRPr="003F0DD1">
        <w:rPr>
          <w:rFonts w:ascii="Times New Roman" w:hAnsi="Times New Roman" w:cs="Times New Roman"/>
          <w:i/>
          <w:iCs/>
          <w:sz w:val="20"/>
          <w:szCs w:val="20"/>
          <w:lang w:val="fr-FR"/>
        </w:rPr>
        <w:t>available at</w:t>
      </w:r>
      <w:r w:rsidRPr="003F0DD1">
        <w:rPr>
          <w:rFonts w:ascii="Times New Roman" w:hAnsi="Times New Roman" w:cs="Times New Roman"/>
          <w:sz w:val="20"/>
          <w:szCs w:val="20"/>
        </w:rPr>
        <w:t xml:space="preserve"> </w:t>
      </w:r>
      <w:hyperlink r:id="rId6" w:history="1">
        <w:r w:rsidRPr="003F0DD1">
          <w:rPr>
            <w:rStyle w:val="Hyperlink1"/>
            <w:rFonts w:ascii="Times New Roman" w:hAnsi="Times New Roman" w:cs="Times New Roman"/>
          </w:rPr>
          <w:t>http://www.newint.org/issue233/fruit.htm</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 xml:space="preserve">see also </w:t>
      </w:r>
      <w:r w:rsidRPr="003F0DD1">
        <w:rPr>
          <w:rFonts w:ascii="Times New Roman" w:hAnsi="Times New Roman" w:cs="Times New Roman"/>
          <w:sz w:val="20"/>
          <w:szCs w:val="20"/>
        </w:rPr>
        <w:t xml:space="preserve">Carolyn Frohmader, </w:t>
      </w:r>
      <w:r w:rsidRPr="003F0DD1">
        <w:rPr>
          <w:rFonts w:ascii="Times New Roman" w:hAnsi="Times New Roman" w:cs="Times New Roman"/>
          <w:i/>
          <w:iCs/>
          <w:sz w:val="20"/>
          <w:szCs w:val="20"/>
        </w:rPr>
        <w:t>Moving Forward and Gaining Ground: The Sterilisation of Women and Girls with Disabilities in Australia</w:t>
      </w:r>
      <w:r w:rsidRPr="003F0DD1">
        <w:rPr>
          <w:rFonts w:ascii="Times New Roman" w:hAnsi="Times New Roman" w:cs="Times New Roman"/>
          <w:sz w:val="20"/>
          <w:szCs w:val="20"/>
        </w:rPr>
        <w:t xml:space="preserve">, Women With Disabilities Australia, 6-7 (2012), </w:t>
      </w:r>
      <w:r w:rsidRPr="003F0DD1">
        <w:rPr>
          <w:rFonts w:ascii="Times New Roman" w:hAnsi="Times New Roman" w:cs="Times New Roman"/>
          <w:i/>
          <w:iCs/>
          <w:sz w:val="20"/>
          <w:szCs w:val="20"/>
        </w:rPr>
        <w:t xml:space="preserve">available at </w:t>
      </w:r>
      <w:hyperlink r:id="rId7" w:history="1">
        <w:r w:rsidRPr="003F0DD1">
          <w:rPr>
            <w:rStyle w:val="Hyperlink1"/>
            <w:rFonts w:ascii="Times New Roman" w:hAnsi="Times New Roman" w:cs="Times New Roman"/>
          </w:rPr>
          <w:t>http://wwda.org.au/wp-content/uploads/2013/12/Moving_Forward_Gaining_Ground.pdf</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 xml:space="preserve">see generally </w:t>
      </w:r>
      <w:r w:rsidRPr="003F0DD1">
        <w:rPr>
          <w:rFonts w:ascii="Times New Roman" w:hAnsi="Times New Roman" w:cs="Times New Roman"/>
          <w:sz w:val="20"/>
          <w:szCs w:val="20"/>
        </w:rPr>
        <w:t xml:space="preserve">Law Students for Reproductive Justice, </w:t>
      </w:r>
      <w:r w:rsidRPr="003F0DD1">
        <w:rPr>
          <w:rFonts w:ascii="Times New Roman" w:hAnsi="Times New Roman" w:cs="Times New Roman"/>
          <w:i/>
          <w:iCs/>
          <w:sz w:val="20"/>
          <w:szCs w:val="20"/>
        </w:rPr>
        <w:t>Women with Disabilities</w:t>
      </w:r>
      <w:r w:rsidRPr="003F0DD1">
        <w:rPr>
          <w:rFonts w:ascii="Times New Roman" w:hAnsi="Times New Roman" w:cs="Times New Roman"/>
          <w:sz w:val="20"/>
          <w:szCs w:val="20"/>
          <w:lang w:val="da-DK"/>
        </w:rPr>
        <w:t xml:space="preserve">, at 3 (2008), </w:t>
      </w:r>
      <w:r w:rsidRPr="003F0DD1">
        <w:rPr>
          <w:rFonts w:ascii="Times New Roman" w:hAnsi="Times New Roman" w:cs="Times New Roman"/>
          <w:i/>
          <w:iCs/>
          <w:sz w:val="20"/>
          <w:szCs w:val="20"/>
          <w:lang w:val="fr-FR"/>
        </w:rPr>
        <w:t>available at</w:t>
      </w:r>
      <w:r w:rsidRPr="003F0DD1">
        <w:rPr>
          <w:rFonts w:ascii="Times New Roman" w:hAnsi="Times New Roman" w:cs="Times New Roman"/>
          <w:sz w:val="20"/>
          <w:szCs w:val="20"/>
        </w:rPr>
        <w:t xml:space="preserve"> </w:t>
      </w:r>
      <w:r w:rsidRPr="003F0DD1">
        <w:rPr>
          <w:rFonts w:ascii="Times New Roman" w:hAnsi="Times New Roman" w:cs="Times New Roman"/>
          <w:color w:val="0000FF"/>
          <w:sz w:val="20"/>
          <w:szCs w:val="20"/>
          <w:u w:color="0000FF"/>
        </w:rPr>
        <w:t>http://lsrj.org/documents/factsheets/08-09_Women_with_Disabilities.pdf</w:t>
      </w:r>
      <w:r w:rsidRPr="003F0DD1">
        <w:rPr>
          <w:rFonts w:ascii="Times New Roman" w:hAnsi="Times New Roman" w:cs="Times New Roman"/>
          <w:sz w:val="20"/>
          <w:szCs w:val="20"/>
        </w:rPr>
        <w:t xml:space="preserve">.  </w:t>
      </w:r>
    </w:p>
  </w:footnote>
  <w:footnote w:id="84">
    <w:p w14:paraId="4DC1D1AD" w14:textId="4042EC1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Pr>
          <w:rFonts w:cs="Times New Roman"/>
          <w:sz w:val="20"/>
          <w:szCs w:val="20"/>
        </w:rPr>
        <w:t xml:space="preserve"> §27-16-1 et seq. (2013)).</w:t>
      </w:r>
    </w:p>
  </w:footnote>
  <w:footnote w:id="85">
    <w:p w14:paraId="1F95C7C5" w14:textId="7A5D59B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sz w:val="20"/>
          <w:szCs w:val="20"/>
        </w:rPr>
        <w:t xml:space="preserve">ADA, </w:t>
      </w:r>
      <w:r>
        <w:rPr>
          <w:rFonts w:cs="Times New Roman"/>
          <w:i/>
          <w:sz w:val="20"/>
          <w:szCs w:val="20"/>
        </w:rPr>
        <w:t>supra</w:t>
      </w:r>
      <w:r>
        <w:rPr>
          <w:rFonts w:cs="Times New Roman"/>
          <w:sz w:val="20"/>
          <w:szCs w:val="20"/>
        </w:rPr>
        <w:t xml:space="preserve"> note 9,</w:t>
      </w:r>
      <w:r w:rsidRPr="003F0DD1">
        <w:rPr>
          <w:rFonts w:cs="Times New Roman"/>
          <w:sz w:val="20"/>
          <w:szCs w:val="20"/>
        </w:rPr>
        <w:t xml:space="preserve"> § 12181</w:t>
      </w:r>
      <w:r>
        <w:rPr>
          <w:rFonts w:cs="Times New Roman"/>
          <w:sz w:val="20"/>
          <w:szCs w:val="20"/>
        </w:rPr>
        <w:t>.</w:t>
      </w:r>
    </w:p>
  </w:footnote>
  <w:footnote w:id="86">
    <w:p w14:paraId="501D95F3"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Courts granting nonconsensual sterilization of females with disabilities are the following: </w:t>
      </w:r>
      <w:r w:rsidRPr="003F0DD1">
        <w:rPr>
          <w:rFonts w:cs="Times New Roman"/>
          <w:i/>
          <w:iCs/>
          <w:sz w:val="20"/>
          <w:szCs w:val="20"/>
        </w:rPr>
        <w:t>Matter of A.W.</w:t>
      </w:r>
      <w:r w:rsidRPr="003F0DD1">
        <w:rPr>
          <w:rFonts w:cs="Times New Roman"/>
          <w:sz w:val="20"/>
          <w:szCs w:val="20"/>
        </w:rPr>
        <w:t xml:space="preserve">, 637 P.2d 366 (Colo. 1981); </w:t>
      </w:r>
      <w:r w:rsidRPr="003F0DD1">
        <w:rPr>
          <w:rFonts w:cs="Times New Roman"/>
          <w:i/>
          <w:iCs/>
          <w:sz w:val="20"/>
          <w:szCs w:val="20"/>
        </w:rPr>
        <w:t>Estate of C.W.</w:t>
      </w:r>
      <w:r w:rsidRPr="003F0DD1">
        <w:rPr>
          <w:rFonts w:cs="Times New Roman"/>
          <w:sz w:val="20"/>
          <w:szCs w:val="20"/>
        </w:rPr>
        <w:t xml:space="preserve">, 640 A.2d 427 (Pa. Super. 1994); </w:t>
      </w:r>
      <w:r w:rsidRPr="003F0DD1">
        <w:rPr>
          <w:rFonts w:cs="Times New Roman"/>
          <w:i/>
          <w:iCs/>
          <w:sz w:val="20"/>
          <w:szCs w:val="20"/>
        </w:rPr>
        <w:t>Matter of Mildred J. Terwilliger,</w:t>
      </w:r>
      <w:r w:rsidRPr="003F0DD1">
        <w:rPr>
          <w:rFonts w:cs="Times New Roman"/>
          <w:sz w:val="20"/>
          <w:szCs w:val="20"/>
        </w:rPr>
        <w:t xml:space="preserve"> 304 A.2d 1376 (Pa. Super. 1982); </w:t>
      </w:r>
      <w:r w:rsidRPr="003F0DD1">
        <w:rPr>
          <w:rFonts w:cs="Times New Roman"/>
          <w:i/>
          <w:iCs/>
          <w:sz w:val="20"/>
          <w:szCs w:val="20"/>
        </w:rPr>
        <w:t xml:space="preserve">Conservatorship of Person and Estate of Maria B., </w:t>
      </w:r>
      <w:r w:rsidRPr="003F0DD1">
        <w:rPr>
          <w:rFonts w:cs="Times New Roman"/>
          <w:sz w:val="20"/>
          <w:szCs w:val="20"/>
        </w:rPr>
        <w:t xml:space="preserve">160 Cal. Rptr. 3d 269 (Cal. Ct. App. 2013). Courts denying nonconsensual sterilization of females with disabilities are the following: </w:t>
      </w:r>
      <w:r w:rsidRPr="003F0DD1">
        <w:rPr>
          <w:rFonts w:cs="Times New Roman"/>
          <w:i/>
          <w:iCs/>
          <w:sz w:val="20"/>
          <w:szCs w:val="20"/>
        </w:rPr>
        <w:t>Wentzel v. Montgomery General Hosp.</w:t>
      </w:r>
      <w:r w:rsidRPr="003F0DD1">
        <w:rPr>
          <w:rFonts w:cs="Times New Roman"/>
          <w:sz w:val="20"/>
          <w:szCs w:val="20"/>
        </w:rPr>
        <w:t xml:space="preserve">, 447 A.2d 1244 (Md. 1982); </w:t>
      </w:r>
      <w:r w:rsidRPr="003F0DD1">
        <w:rPr>
          <w:rFonts w:cs="Times New Roman"/>
          <w:i/>
          <w:iCs/>
          <w:sz w:val="20"/>
          <w:szCs w:val="20"/>
        </w:rPr>
        <w:t>Matter of Truesdell</w:t>
      </w:r>
      <w:r w:rsidRPr="003F0DD1">
        <w:rPr>
          <w:rFonts w:cs="Times New Roman"/>
          <w:sz w:val="20"/>
          <w:szCs w:val="20"/>
        </w:rPr>
        <w:t xml:space="preserve">, 329 S.E.2d 630, 636 (N.C. 1985); </w:t>
      </w:r>
      <w:r w:rsidRPr="003F0DD1">
        <w:rPr>
          <w:rFonts w:cs="Times New Roman"/>
          <w:i/>
          <w:iCs/>
          <w:sz w:val="20"/>
          <w:szCs w:val="20"/>
        </w:rPr>
        <w:t>Conservatorship of Valerie N.</w:t>
      </w:r>
      <w:r w:rsidRPr="003F0DD1">
        <w:rPr>
          <w:rFonts w:cs="Times New Roman"/>
          <w:sz w:val="20"/>
          <w:szCs w:val="20"/>
        </w:rPr>
        <w:t xml:space="preserve">, 40 Cal. 3d 143 (Cal. 1985); </w:t>
      </w:r>
      <w:r w:rsidRPr="003F0DD1">
        <w:rPr>
          <w:rFonts w:cs="Times New Roman"/>
          <w:i/>
          <w:iCs/>
          <w:sz w:val="20"/>
          <w:szCs w:val="20"/>
        </w:rPr>
        <w:t>Matter of Romero</w:t>
      </w:r>
      <w:r w:rsidRPr="003F0DD1">
        <w:rPr>
          <w:rFonts w:cs="Times New Roman"/>
          <w:sz w:val="20"/>
          <w:szCs w:val="20"/>
        </w:rPr>
        <w:t>, 790 P.2d 819 (Colo. 1990).</w:t>
      </w:r>
    </w:p>
  </w:footnote>
  <w:footnote w:id="87">
    <w:p w14:paraId="1A0E6CC3" w14:textId="77777777" w:rsidR="0064077B" w:rsidRDefault="0064077B">
      <w:pPr>
        <w:pStyle w:val="FootnoteText"/>
      </w:pPr>
      <w:r>
        <w:rPr>
          <w:rStyle w:val="FootnoteReference"/>
        </w:rPr>
        <w:footnoteRef/>
      </w:r>
      <w:r>
        <w:t xml:space="preserve"> </w:t>
      </w:r>
      <w:r w:rsidRPr="003F0DD1">
        <w:rPr>
          <w:rFonts w:cs="Times New Roman"/>
          <w:i/>
          <w:iCs/>
          <w:sz w:val="20"/>
          <w:szCs w:val="20"/>
        </w:rPr>
        <w:t xml:space="preserve">Conservatorship of Person and Estate of Maria B., </w:t>
      </w:r>
      <w:r w:rsidRPr="003F0DD1">
        <w:rPr>
          <w:rFonts w:cs="Times New Roman"/>
          <w:sz w:val="20"/>
          <w:szCs w:val="20"/>
        </w:rPr>
        <w:t>160 Cal. Rptr. 3d 269 (Cal. Ct. App. 2013)</w:t>
      </w:r>
    </w:p>
  </w:footnote>
  <w:footnote w:id="88">
    <w:p w14:paraId="366F3461"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Skinner v. Oklahoma</w:t>
      </w:r>
      <w:r w:rsidRPr="003F0DD1">
        <w:rPr>
          <w:rFonts w:cs="Times New Roman"/>
          <w:sz w:val="20"/>
          <w:szCs w:val="20"/>
        </w:rPr>
        <w:t xml:space="preserve">, 316 U.S. 535, 541 (1942). </w:t>
      </w:r>
    </w:p>
  </w:footnote>
  <w:footnote w:id="89">
    <w:p w14:paraId="63394846"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In re Grady</w:t>
      </w:r>
      <w:r w:rsidRPr="003F0DD1">
        <w:rPr>
          <w:rFonts w:cs="Times New Roman"/>
          <w:sz w:val="20"/>
          <w:szCs w:val="20"/>
        </w:rPr>
        <w:t xml:space="preserve">, 426 A.2d 467, 472 (N.J. 1981).  </w:t>
      </w:r>
    </w:p>
  </w:footnote>
  <w:footnote w:id="90">
    <w:p w14:paraId="279699D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Sterilization of Women, Including Those With Disabilities</w:t>
      </w:r>
      <w:r w:rsidRPr="003F0DD1">
        <w:rPr>
          <w:rFonts w:cs="Times New Roman"/>
          <w:sz w:val="20"/>
          <w:szCs w:val="20"/>
        </w:rPr>
        <w:t xml:space="preserve">, </w:t>
      </w:r>
      <w:r w:rsidRPr="003F0DD1">
        <w:rPr>
          <w:rFonts w:cs="Times New Roman"/>
          <w:smallCaps/>
          <w:sz w:val="20"/>
          <w:szCs w:val="20"/>
        </w:rPr>
        <w:t>The American Congress of Obstetricians and Gynecologists</w:t>
      </w:r>
      <w:r w:rsidRPr="003F0DD1">
        <w:rPr>
          <w:rFonts w:cs="Times New Roman"/>
          <w:sz w:val="20"/>
          <w:szCs w:val="20"/>
        </w:rPr>
        <w:t xml:space="preserve">, </w:t>
      </w:r>
      <w:hyperlink r:id="rId8" w:history="1">
        <w:r w:rsidRPr="003F0DD1">
          <w:rPr>
            <w:rStyle w:val="Hyperlink1"/>
            <w:rFonts w:cs="Times New Roman"/>
          </w:rPr>
          <w:t>https://www.acog.org/Resources-And-Publications/Committee-Opinions/Committee-on-Ethics/Sterilization-of-Women-Including-Those-With-Mental-Disabilities</w:t>
        </w:r>
      </w:hyperlink>
      <w:r w:rsidRPr="003F0DD1">
        <w:rPr>
          <w:rFonts w:cs="Times New Roman"/>
          <w:sz w:val="20"/>
          <w:szCs w:val="20"/>
        </w:rPr>
        <w:t>.</w:t>
      </w:r>
    </w:p>
  </w:footnote>
  <w:footnote w:id="91">
    <w:p w14:paraId="5799BDD4" w14:textId="3A60F93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2">
    <w:p w14:paraId="4014423C" w14:textId="356C229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3">
    <w:p w14:paraId="643DD7E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New Ethics Guidelines 2011</w:t>
      </w:r>
      <w:r w:rsidRPr="003F0DD1">
        <w:rPr>
          <w:rFonts w:cs="Times New Roman"/>
          <w:sz w:val="20"/>
          <w:szCs w:val="20"/>
        </w:rPr>
        <w:t xml:space="preserve">, </w:t>
      </w:r>
      <w:r w:rsidRPr="003F0DD1">
        <w:rPr>
          <w:rFonts w:cs="Times New Roman"/>
          <w:smallCaps/>
          <w:sz w:val="20"/>
          <w:szCs w:val="20"/>
        </w:rPr>
        <w:t>International Federation of Gynecology and Obstetricians</w:t>
      </w:r>
      <w:r w:rsidRPr="003F0DD1">
        <w:rPr>
          <w:rFonts w:cs="Times New Roman"/>
          <w:sz w:val="20"/>
          <w:szCs w:val="20"/>
        </w:rPr>
        <w:t xml:space="preserve">, </w:t>
      </w:r>
      <w:hyperlink r:id="rId9" w:history="1">
        <w:r w:rsidRPr="003F0DD1">
          <w:rPr>
            <w:rStyle w:val="Hyperlink1"/>
            <w:rFonts w:cs="Times New Roman"/>
          </w:rPr>
          <w:t>http://www.figo.org/news/new-download-new-ethics-guidelines-2011-003772</w:t>
        </w:r>
      </w:hyperlink>
      <w:r w:rsidRPr="003F0DD1">
        <w:rPr>
          <w:rFonts w:cs="Times New Roman"/>
          <w:sz w:val="20"/>
          <w:szCs w:val="20"/>
        </w:rPr>
        <w:t xml:space="preserve">. </w:t>
      </w:r>
    </w:p>
  </w:footnote>
  <w:footnote w:id="94">
    <w:p w14:paraId="3391A106" w14:textId="3417FDD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5">
    <w:p w14:paraId="74DB3BAB" w14:textId="5FA8176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6">
    <w:p w14:paraId="198CFCD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Judith Resnik &amp; Dennis Curtis, </w:t>
      </w:r>
      <w:r w:rsidRPr="003F0DD1">
        <w:rPr>
          <w:rFonts w:cs="Times New Roman"/>
          <w:i/>
          <w:iCs/>
          <w:sz w:val="20"/>
          <w:szCs w:val="20"/>
        </w:rPr>
        <w:t>Representing Justice: Invention, Controversy, and Rights in City-States and Democratic Courtrooms</w:t>
      </w:r>
      <w:r w:rsidRPr="003F0DD1">
        <w:rPr>
          <w:rFonts w:cs="Times New Roman"/>
          <w:sz w:val="20"/>
          <w:szCs w:val="20"/>
        </w:rPr>
        <w:t xml:space="preserve"> (2011), </w:t>
      </w:r>
      <w:r w:rsidRPr="003F0DD1">
        <w:rPr>
          <w:rFonts w:cs="Times New Roman"/>
          <w:i/>
          <w:iCs/>
          <w:sz w:val="20"/>
          <w:szCs w:val="20"/>
        </w:rPr>
        <w:t>available at</w:t>
      </w:r>
      <w:r w:rsidRPr="003F0DD1">
        <w:rPr>
          <w:rFonts w:cs="Times New Roman"/>
          <w:sz w:val="20"/>
          <w:szCs w:val="20"/>
        </w:rPr>
        <w:t xml:space="preserve">: </w:t>
      </w:r>
      <w:hyperlink r:id="rId10" w:history="1">
        <w:r w:rsidRPr="003F0DD1">
          <w:rPr>
            <w:rStyle w:val="Hyperlink1"/>
            <w:rFonts w:cs="Times New Roman"/>
          </w:rPr>
          <w:t>http://documents.law.yale.edu/representing-justice</w:t>
        </w:r>
      </w:hyperlink>
      <w:r w:rsidRPr="003F0DD1">
        <w:rPr>
          <w:rFonts w:cs="Times New Roman"/>
          <w:sz w:val="20"/>
          <w:szCs w:val="20"/>
        </w:rPr>
        <w:t xml:space="preserve">. </w:t>
      </w:r>
    </w:p>
  </w:footnote>
  <w:footnote w:id="97">
    <w:p w14:paraId="50CBB4C4" w14:textId="4E975E14"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Pr>
          <w:rFonts w:ascii="Times New Roman" w:hAnsi="Times New Roman" w:cs="Times New Roman"/>
          <w:sz w:val="20"/>
          <w:szCs w:val="20"/>
        </w:rPr>
        <w:t xml:space="preserve"> </w:t>
      </w:r>
      <w:r w:rsidRPr="003F0DD1">
        <w:rPr>
          <w:rFonts w:ascii="Times New Roman" w:hAnsi="Times New Roman" w:cs="Times New Roman"/>
          <w:sz w:val="20"/>
          <w:szCs w:val="20"/>
        </w:rPr>
        <w:t xml:space="preserve">28 C.F.R. § 35, § 35 (2015). </w:t>
      </w:r>
    </w:p>
  </w:footnote>
  <w:footnote w:id="98">
    <w:p w14:paraId="31E2B10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42 U.S.C. § 12132 (1990).</w:t>
      </w:r>
    </w:p>
  </w:footnote>
  <w:footnote w:id="99">
    <w:p w14:paraId="60AEFE23" w14:textId="09C6F01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Resnik &amp; Curtis, </w:t>
      </w:r>
      <w:r>
        <w:rPr>
          <w:rFonts w:cs="Times New Roman"/>
          <w:i/>
          <w:iCs/>
          <w:sz w:val="20"/>
          <w:szCs w:val="20"/>
        </w:rPr>
        <w:t>supra</w:t>
      </w:r>
      <w:r>
        <w:rPr>
          <w:rFonts w:cs="Times New Roman"/>
          <w:iCs/>
          <w:sz w:val="20"/>
          <w:szCs w:val="20"/>
        </w:rPr>
        <w:t xml:space="preserve"> note 96</w:t>
      </w:r>
      <w:r w:rsidRPr="003F0DD1">
        <w:rPr>
          <w:rFonts w:cs="Times New Roman"/>
          <w:sz w:val="20"/>
          <w:szCs w:val="20"/>
        </w:rPr>
        <w:t>.</w:t>
      </w:r>
    </w:p>
  </w:footnote>
  <w:footnote w:id="100">
    <w:p w14:paraId="34586A5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sidRPr="003F0DD1">
        <w:rPr>
          <w:rFonts w:cs="Times New Roman"/>
          <w:sz w:val="20"/>
          <w:szCs w:val="20"/>
        </w:rPr>
        <w:t>, 541 U.S. 509 (2004).</w:t>
      </w:r>
    </w:p>
  </w:footnote>
  <w:footnote w:id="101">
    <w:p w14:paraId="3EF38AF4" w14:textId="7D20F7B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Pr>
          <w:rFonts w:cs="Times New Roman"/>
          <w:sz w:val="20"/>
          <w:szCs w:val="20"/>
        </w:rPr>
        <w:t>, 541 U.S. at</w:t>
      </w:r>
      <w:r w:rsidRPr="003F0DD1">
        <w:rPr>
          <w:rFonts w:cs="Times New Roman"/>
          <w:sz w:val="20"/>
          <w:szCs w:val="20"/>
        </w:rPr>
        <w:t xml:space="preserve"> 514.</w:t>
      </w:r>
    </w:p>
  </w:footnote>
  <w:footnote w:id="102">
    <w:p w14:paraId="20269134" w14:textId="055111B2"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514.</w:t>
      </w:r>
    </w:p>
  </w:footnote>
  <w:footnote w:id="103">
    <w:p w14:paraId="029D3436" w14:textId="5CC3BB7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510-12.</w:t>
      </w:r>
    </w:p>
  </w:footnote>
  <w:footnote w:id="104">
    <w:p w14:paraId="63E8B78F" w14:textId="10E8CCE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532 (citing </w:t>
      </w:r>
      <w:r w:rsidRPr="003F0DD1">
        <w:rPr>
          <w:rFonts w:cs="Times New Roman"/>
          <w:i/>
          <w:iCs/>
          <w:sz w:val="20"/>
          <w:szCs w:val="20"/>
        </w:rPr>
        <w:t>Boddie v. Connecticut</w:t>
      </w:r>
      <w:r w:rsidRPr="003F0DD1">
        <w:rPr>
          <w:rFonts w:cs="Times New Roman"/>
          <w:sz w:val="20"/>
          <w:szCs w:val="20"/>
        </w:rPr>
        <w:t>, 401 U.S. 371, 379 (1971)).</w:t>
      </w:r>
    </w:p>
  </w:footnote>
  <w:footnote w:id="105">
    <w:p w14:paraId="71D6CEC7" w14:textId="00643F1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Access Board, </w:t>
      </w:r>
      <w:r w:rsidRPr="003F0DD1">
        <w:rPr>
          <w:rFonts w:cs="Times New Roman"/>
          <w:i/>
          <w:iCs/>
          <w:sz w:val="20"/>
          <w:szCs w:val="20"/>
        </w:rPr>
        <w:t>Justice for All: Designing Accessible Courthouses</w:t>
      </w:r>
      <w:r w:rsidRPr="003F0DD1">
        <w:rPr>
          <w:rFonts w:cs="Times New Roman"/>
          <w:sz w:val="20"/>
          <w:szCs w:val="20"/>
        </w:rPr>
        <w:t xml:space="preserve"> (Nov. 15, 2006</w:t>
      </w:r>
      <w:r>
        <w:rPr>
          <w:rFonts w:cs="Times New Roman"/>
          <w:sz w:val="20"/>
          <w:szCs w:val="20"/>
        </w:rPr>
        <w:t>).</w:t>
      </w:r>
    </w:p>
  </w:footnote>
  <w:footnote w:id="106">
    <w:p w14:paraId="58C7935D" w14:textId="45AD2C6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07">
    <w:p w14:paraId="7B6D465A"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Janine Benedet &amp; Isabel Grant, </w:t>
      </w:r>
      <w:r w:rsidRPr="003F0DD1">
        <w:rPr>
          <w:rFonts w:cs="Times New Roman"/>
          <w:i/>
          <w:iCs/>
          <w:sz w:val="20"/>
          <w:szCs w:val="20"/>
        </w:rPr>
        <w:t>Hearing the Sexual Assault Complaints of Women with Mental Disabilities: Evidentiary and Procedural Issues</w:t>
      </w:r>
      <w:r w:rsidRPr="003F0DD1">
        <w:rPr>
          <w:rFonts w:cs="Times New Roman"/>
          <w:sz w:val="20"/>
          <w:szCs w:val="20"/>
        </w:rPr>
        <w:t xml:space="preserve">, 52 </w:t>
      </w:r>
      <w:r w:rsidRPr="003F0DD1">
        <w:rPr>
          <w:rFonts w:cs="Times New Roman"/>
          <w:smallCaps/>
          <w:sz w:val="20"/>
          <w:szCs w:val="20"/>
        </w:rPr>
        <w:t>McGill Law J.</w:t>
      </w:r>
      <w:r w:rsidRPr="003F0DD1">
        <w:rPr>
          <w:rFonts w:cs="Times New Roman"/>
          <w:sz w:val="20"/>
          <w:szCs w:val="20"/>
        </w:rPr>
        <w:t xml:space="preserve"> 515-522 (2007), </w:t>
      </w:r>
      <w:r w:rsidRPr="003F0DD1">
        <w:rPr>
          <w:rFonts w:cs="Times New Roman"/>
          <w:i/>
          <w:iCs/>
          <w:sz w:val="20"/>
          <w:szCs w:val="20"/>
        </w:rPr>
        <w:t>available at</w:t>
      </w:r>
      <w:r w:rsidRPr="003F0DD1">
        <w:rPr>
          <w:rFonts w:cs="Times New Roman"/>
          <w:sz w:val="20"/>
          <w:szCs w:val="20"/>
        </w:rPr>
        <w:t xml:space="preserve"> </w:t>
      </w:r>
      <w:hyperlink r:id="rId11" w:history="1">
        <w:r w:rsidRPr="003F0DD1">
          <w:rPr>
            <w:rStyle w:val="Hyperlink1"/>
            <w:rFonts w:cs="Times New Roman"/>
          </w:rPr>
          <w:t>http://ssrn.com/abstract=1657128</w:t>
        </w:r>
      </w:hyperlink>
      <w:r w:rsidRPr="003F0DD1">
        <w:rPr>
          <w:rFonts w:cs="Times New Roman"/>
          <w:sz w:val="20"/>
          <w:szCs w:val="20"/>
        </w:rPr>
        <w:t xml:space="preserve">. </w:t>
      </w:r>
    </w:p>
  </w:footnote>
  <w:footnote w:id="108">
    <w:p w14:paraId="2A30D64B"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Sharon Primor &amp; Na’ama Lerner, </w:t>
      </w:r>
      <w:r w:rsidRPr="003F0DD1">
        <w:rPr>
          <w:rFonts w:cs="Times New Roman"/>
          <w:i/>
          <w:iCs/>
          <w:sz w:val="20"/>
          <w:szCs w:val="20"/>
        </w:rPr>
        <w:t>The Right of Persons with Intellectual, Psychosocial and Communication Disabilities to Access to Justice Accommodations in the Criminal Process</w:t>
      </w:r>
      <w:r w:rsidRPr="003F0DD1">
        <w:rPr>
          <w:rFonts w:cs="Times New Roman"/>
          <w:sz w:val="20"/>
          <w:szCs w:val="20"/>
        </w:rPr>
        <w:t xml:space="preserve">, </w:t>
      </w:r>
      <w:r w:rsidRPr="003F0DD1">
        <w:rPr>
          <w:rFonts w:cs="Times New Roman"/>
          <w:smallCaps/>
          <w:sz w:val="20"/>
          <w:szCs w:val="20"/>
        </w:rPr>
        <w:t>BIZCHUT,</w:t>
      </w:r>
      <w:r w:rsidRPr="003F0DD1">
        <w:rPr>
          <w:rFonts w:cs="Times New Roman"/>
          <w:sz w:val="20"/>
          <w:szCs w:val="20"/>
        </w:rPr>
        <w:t xml:space="preserve"> </w:t>
      </w:r>
      <w:r w:rsidRPr="003F0DD1">
        <w:rPr>
          <w:rFonts w:cs="Times New Roman"/>
          <w:smallCaps/>
          <w:sz w:val="20"/>
          <w:szCs w:val="20"/>
        </w:rPr>
        <w:t>The Israel Human Rights Center for People with Disabilities</w:t>
      </w:r>
      <w:r w:rsidRPr="003F0DD1">
        <w:rPr>
          <w:rFonts w:cs="Times New Roman"/>
          <w:sz w:val="20"/>
          <w:szCs w:val="20"/>
        </w:rPr>
        <w:t xml:space="preserve"> 3 (2015).</w:t>
      </w:r>
    </w:p>
  </w:footnote>
  <w:footnote w:id="109">
    <w:p w14:paraId="2E99CECB" w14:textId="0462A34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110">
    <w:p w14:paraId="5D9F0987"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color w:val="222222"/>
          <w:sz w:val="20"/>
          <w:szCs w:val="20"/>
          <w:u w:color="222222"/>
          <w:shd w:val="clear" w:color="auto" w:fill="FFFFFF"/>
        </w:rPr>
        <w:t>Wendy Murphy, </w:t>
      </w:r>
      <w:r w:rsidRPr="003F0DD1">
        <w:rPr>
          <w:rFonts w:ascii="Times New Roman" w:hAnsi="Times New Roman" w:cs="Times New Roman"/>
          <w:i/>
          <w:iCs/>
          <w:color w:val="222222"/>
          <w:sz w:val="20"/>
          <w:szCs w:val="20"/>
          <w:u w:color="222222"/>
          <w:shd w:val="clear" w:color="auto" w:fill="FFFFFF"/>
        </w:rPr>
        <w:t>Traumatized Children Who Participate in Legal Proceedings Are Entitled to Testimonial and</w:t>
      </w:r>
      <w:r w:rsidRPr="003F0DD1">
        <w:rPr>
          <w:rFonts w:ascii="Times New Roman" w:hAnsi="Times New Roman" w:cs="Times New Roman"/>
          <w:color w:val="222222"/>
          <w:sz w:val="20"/>
          <w:szCs w:val="20"/>
          <w:u w:val="single" w:color="222222"/>
          <w:shd w:val="clear" w:color="auto" w:fill="FFFFFF"/>
        </w:rPr>
        <w:t xml:space="preserve"> </w:t>
      </w:r>
      <w:r w:rsidRPr="003F0DD1">
        <w:rPr>
          <w:rFonts w:ascii="Times New Roman" w:hAnsi="Times New Roman" w:cs="Times New Roman"/>
          <w:i/>
          <w:iCs/>
          <w:color w:val="222222"/>
          <w:sz w:val="20"/>
          <w:szCs w:val="20"/>
          <w:u w:color="222222"/>
          <w:shd w:val="clear" w:color="auto" w:fill="FFFFFF"/>
        </w:rPr>
        <w:t>Participatory Accommodations Under the Americans with Disabilities Act</w:t>
      </w:r>
      <w:r w:rsidRPr="003F0DD1">
        <w:rPr>
          <w:rFonts w:ascii="Times New Roman" w:hAnsi="Times New Roman" w:cs="Times New Roman"/>
          <w:color w:val="222222"/>
          <w:sz w:val="20"/>
          <w:szCs w:val="20"/>
          <w:u w:color="222222"/>
          <w:shd w:val="clear" w:color="auto" w:fill="FFFFFF"/>
        </w:rPr>
        <w:t xml:space="preserve">, 19 </w:t>
      </w:r>
      <w:r w:rsidRPr="003F0DD1">
        <w:rPr>
          <w:rFonts w:ascii="Times New Roman" w:hAnsi="Times New Roman" w:cs="Times New Roman"/>
          <w:smallCaps/>
          <w:color w:val="222222"/>
          <w:sz w:val="20"/>
          <w:szCs w:val="20"/>
          <w:u w:color="222222"/>
          <w:shd w:val="clear" w:color="auto" w:fill="FFFFFF"/>
        </w:rPr>
        <w:t>Roger Williams U. L. Rev.</w:t>
      </w:r>
      <w:r w:rsidRPr="003F0DD1">
        <w:rPr>
          <w:rFonts w:ascii="Times New Roman" w:hAnsi="Times New Roman" w:cs="Times New Roman"/>
          <w:color w:val="222222"/>
          <w:sz w:val="20"/>
          <w:szCs w:val="20"/>
          <w:u w:color="222222"/>
          <w:shd w:val="clear" w:color="auto" w:fill="FFFFFF"/>
        </w:rPr>
        <w:t xml:space="preserve"> 361, 371 (2014).</w:t>
      </w:r>
    </w:p>
  </w:footnote>
  <w:footnote w:id="111">
    <w:p w14:paraId="393D5A55" w14:textId="0384F824" w:rsidR="0064077B" w:rsidRPr="003F0DD1" w:rsidRDefault="0064077B" w:rsidP="006641AE">
      <w:pPr>
        <w:pStyle w:val="EndnoteText"/>
        <w:jc w:val="both"/>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color w:val="222222"/>
          <w:sz w:val="20"/>
          <w:szCs w:val="20"/>
          <w:u w:color="222222"/>
          <w:shd w:val="clear" w:color="auto" w:fill="FFFFFF"/>
        </w:rPr>
        <w:t>Id.</w:t>
      </w:r>
      <w:r w:rsidRPr="003F0DD1">
        <w:rPr>
          <w:rFonts w:cs="Times New Roman"/>
          <w:color w:val="222222"/>
          <w:sz w:val="20"/>
          <w:szCs w:val="20"/>
          <w:u w:color="222222"/>
          <w:shd w:val="clear" w:color="auto" w:fill="FFFFFF"/>
        </w:rPr>
        <w:t>,</w:t>
      </w:r>
      <w:r>
        <w:rPr>
          <w:rFonts w:cs="Times New Roman"/>
          <w:color w:val="222222"/>
          <w:sz w:val="20"/>
          <w:szCs w:val="20"/>
          <w:u w:color="222222"/>
          <w:shd w:val="clear" w:color="auto" w:fill="FFFFFF"/>
        </w:rPr>
        <w:t xml:space="preserve"> at</w:t>
      </w:r>
      <w:r w:rsidRPr="003F0DD1">
        <w:rPr>
          <w:rFonts w:cs="Times New Roman"/>
          <w:color w:val="222222"/>
          <w:sz w:val="20"/>
          <w:szCs w:val="20"/>
          <w:u w:color="222222"/>
          <w:shd w:val="clear" w:color="auto" w:fill="FFFFFF"/>
        </w:rPr>
        <w:t xml:space="preserve"> 371-72.</w:t>
      </w:r>
    </w:p>
  </w:footnote>
  <w:footnote w:id="112">
    <w:p w14:paraId="01BF4400" w14:textId="295E93F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Primor &amp; Lerner, </w:t>
      </w:r>
      <w:r>
        <w:rPr>
          <w:rFonts w:cs="Times New Roman"/>
          <w:i/>
          <w:iCs/>
          <w:sz w:val="20"/>
          <w:szCs w:val="20"/>
        </w:rPr>
        <w:t>supra</w:t>
      </w:r>
      <w:r>
        <w:rPr>
          <w:rFonts w:cs="Times New Roman"/>
          <w:iCs/>
          <w:sz w:val="20"/>
          <w:szCs w:val="20"/>
        </w:rPr>
        <w:t xml:space="preserve"> note 108, at</w:t>
      </w:r>
      <w:r w:rsidRPr="003F0DD1">
        <w:rPr>
          <w:rFonts w:cs="Times New Roman"/>
          <w:sz w:val="20"/>
          <w:szCs w:val="20"/>
        </w:rPr>
        <w:t xml:space="preserve"> 4.</w:t>
      </w:r>
    </w:p>
  </w:footnote>
  <w:footnote w:id="113">
    <w:p w14:paraId="21A074AA" w14:textId="2C60520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William Paul Deal &amp; Viktoria Kristiansson, </w:t>
      </w:r>
      <w:r w:rsidRPr="003F0DD1">
        <w:rPr>
          <w:rFonts w:cs="Times New Roman"/>
          <w:i/>
          <w:iCs/>
          <w:sz w:val="20"/>
          <w:szCs w:val="20"/>
        </w:rPr>
        <w:t>Victims and Witnesses with Developmental Disabilities and the Prosecution of Sexual Assault</w:t>
      </w:r>
      <w:r w:rsidRPr="003F0DD1">
        <w:rPr>
          <w:rFonts w:cs="Times New Roman"/>
          <w:sz w:val="20"/>
          <w:szCs w:val="20"/>
        </w:rPr>
        <w:t xml:space="preserve">, The National Center for the Prosecution of Violence Against Women, </w:t>
      </w:r>
      <w:hyperlink r:id="rId12" w:history="1">
        <w:r w:rsidRPr="003F0DD1">
          <w:rPr>
            <w:rStyle w:val="Hyperlink1"/>
            <w:rFonts w:cs="Times New Roman"/>
          </w:rPr>
          <w:t>http://www.ndaa.org/pdf/the_voice_vol_1_no_12_2007.pdf</w:t>
        </w:r>
      </w:hyperlink>
      <w:r w:rsidRPr="003F0DD1">
        <w:rPr>
          <w:rFonts w:cs="Times New Roman"/>
          <w:sz w:val="20"/>
          <w:szCs w:val="20"/>
        </w:rPr>
        <w:t>.</w:t>
      </w:r>
    </w:p>
  </w:footnote>
  <w:footnote w:id="114">
    <w:p w14:paraId="23A86E3C" w14:textId="063715A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Chris Jennings, </w:t>
      </w:r>
      <w:r w:rsidRPr="003F0DD1">
        <w:rPr>
          <w:rFonts w:cs="Times New Roman"/>
          <w:i/>
          <w:iCs/>
          <w:sz w:val="20"/>
          <w:szCs w:val="20"/>
        </w:rPr>
        <w:t>Family Violence &amp; Sexual Assault: A Criminal Justice Response for Women with Disabilities</w:t>
      </w:r>
      <w:r w:rsidRPr="003F0DD1">
        <w:rPr>
          <w:rFonts w:cs="Times New Roman"/>
          <w:sz w:val="20"/>
          <w:szCs w:val="20"/>
        </w:rPr>
        <w:t xml:space="preserve">, </w:t>
      </w:r>
      <w:hyperlink r:id="rId13" w:history="1">
        <w:r w:rsidRPr="003F0DD1">
          <w:rPr>
            <w:rStyle w:val="Hyperlink1"/>
            <w:rFonts w:cs="Times New Roman"/>
          </w:rPr>
          <w:t>http://www.wwda.org.au/wp-content/uploads/2013/12//jennings4.pdf</w:t>
        </w:r>
      </w:hyperlink>
      <w:r w:rsidRPr="003F0DD1">
        <w:rPr>
          <w:rFonts w:cs="Times New Roman"/>
          <w:sz w:val="20"/>
          <w:szCs w:val="20"/>
        </w:rPr>
        <w:t>.</w:t>
      </w:r>
    </w:p>
  </w:footnote>
  <w:footnote w:id="115">
    <w:p w14:paraId="0F99C16D" w14:textId="51E83B9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sz w:val="20"/>
          <w:szCs w:val="20"/>
        </w:rPr>
        <w:t>.</w:t>
      </w:r>
    </w:p>
  </w:footnote>
  <w:footnote w:id="116">
    <w:p w14:paraId="189E2CF8" w14:textId="757E053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Primor &amp; Lerner, </w:t>
      </w:r>
      <w:r>
        <w:rPr>
          <w:rFonts w:cs="Times New Roman"/>
          <w:i/>
          <w:iCs/>
          <w:sz w:val="20"/>
          <w:szCs w:val="20"/>
        </w:rPr>
        <w:t>supra</w:t>
      </w:r>
      <w:r>
        <w:rPr>
          <w:rFonts w:cs="Times New Roman"/>
          <w:iCs/>
          <w:sz w:val="20"/>
          <w:szCs w:val="20"/>
        </w:rPr>
        <w:t xml:space="preserve"> note 108, at</w:t>
      </w:r>
      <w:r w:rsidRPr="003F0DD1">
        <w:rPr>
          <w:rFonts w:cs="Times New Roman"/>
          <w:sz w:val="20"/>
          <w:szCs w:val="20"/>
        </w:rPr>
        <w:t xml:space="preserve"> 3-4.</w:t>
      </w:r>
    </w:p>
  </w:footnote>
  <w:footnote w:id="117">
    <w:p w14:paraId="072FECAE" w14:textId="0EDF754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Pr>
          <w:rFonts w:cs="Times New Roman"/>
          <w:sz w:val="20"/>
          <w:szCs w:val="20"/>
        </w:rPr>
        <w:t xml:space="preserve"> </w:t>
      </w:r>
      <w:r w:rsidRPr="002F1710">
        <w:rPr>
          <w:rFonts w:cs="Times New Roman"/>
          <w:i/>
          <w:sz w:val="20"/>
          <w:szCs w:val="20"/>
        </w:rPr>
        <w:t>Id.</w:t>
      </w:r>
      <w:r>
        <w:rPr>
          <w:rFonts w:cs="Times New Roman"/>
          <w:sz w:val="20"/>
          <w:szCs w:val="20"/>
        </w:rPr>
        <w:t>, at</w:t>
      </w:r>
      <w:r w:rsidRPr="003F0DD1">
        <w:rPr>
          <w:rFonts w:cs="Times New Roman"/>
          <w:sz w:val="20"/>
          <w:szCs w:val="20"/>
        </w:rPr>
        <w:t xml:space="preserve"> 4.</w:t>
      </w:r>
    </w:p>
  </w:footnote>
  <w:footnote w:id="118">
    <w:p w14:paraId="549786BB" w14:textId="5A59D9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sz w:val="20"/>
          <w:szCs w:val="20"/>
        </w:rPr>
        <w:t>.</w:t>
      </w:r>
    </w:p>
  </w:footnote>
  <w:footnote w:id="119">
    <w:p w14:paraId="5418A4A0"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color w:val="252525"/>
          <w:sz w:val="20"/>
          <w:szCs w:val="20"/>
          <w:u w:color="252525"/>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In re McDonough</w:t>
      </w:r>
      <w:r w:rsidRPr="003F0DD1">
        <w:rPr>
          <w:rFonts w:ascii="Times New Roman" w:hAnsi="Times New Roman" w:cs="Times New Roman"/>
          <w:sz w:val="20"/>
          <w:szCs w:val="20"/>
        </w:rPr>
        <w:t>, 930 N.E.2d 1279, 1293 (Mass. 2010).</w:t>
      </w:r>
    </w:p>
  </w:footnote>
  <w:footnote w:id="120">
    <w:p w14:paraId="50706F28" w14:textId="2677AF5D"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r w:rsidRPr="003F0DD1">
        <w:rPr>
          <w:rFonts w:cs="Times New Roman"/>
          <w:i/>
          <w:iCs/>
          <w:sz w:val="20"/>
          <w:szCs w:val="20"/>
        </w:rPr>
        <w:t>In re McDonough</w:t>
      </w:r>
      <w:r>
        <w:rPr>
          <w:rFonts w:cs="Times New Roman"/>
          <w:sz w:val="20"/>
          <w:szCs w:val="20"/>
        </w:rPr>
        <w:t>, 930 N.E.2d at</w:t>
      </w:r>
      <w:r w:rsidRPr="003F0DD1">
        <w:rPr>
          <w:rFonts w:cs="Times New Roman"/>
          <w:sz w:val="20"/>
          <w:szCs w:val="20"/>
        </w:rPr>
        <w:t xml:space="preserve"> 1282.</w:t>
      </w:r>
    </w:p>
  </w:footnote>
  <w:footnote w:id="121">
    <w:p w14:paraId="046533FE" w14:textId="16BEB0FF"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at</w:t>
      </w:r>
      <w:r w:rsidRPr="003F0DD1">
        <w:rPr>
          <w:rFonts w:cs="Times New Roman"/>
          <w:sz w:val="20"/>
          <w:szCs w:val="20"/>
        </w:rPr>
        <w:t xml:space="preserve"> 1284.</w:t>
      </w:r>
    </w:p>
  </w:footnote>
  <w:footnote w:id="122">
    <w:p w14:paraId="39883E50" w14:textId="10811E1D"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at</w:t>
      </w:r>
      <w:r w:rsidRPr="003F0DD1">
        <w:rPr>
          <w:rFonts w:cs="Times New Roman"/>
          <w:sz w:val="20"/>
          <w:szCs w:val="20"/>
        </w:rPr>
        <w:t xml:space="preserve"> 1284.</w:t>
      </w:r>
    </w:p>
  </w:footnote>
  <w:footnote w:id="123">
    <w:p w14:paraId="3ACB4EE4" w14:textId="71C8EA09"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color w:val="252525"/>
          <w:sz w:val="20"/>
          <w:szCs w:val="20"/>
          <w:u w:color="252525"/>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color w:val="222222"/>
          <w:sz w:val="20"/>
          <w:szCs w:val="20"/>
          <w:u w:color="222222"/>
          <w:shd w:val="clear" w:color="auto" w:fill="FFFFFF"/>
        </w:rPr>
        <w:t>Murphy, </w:t>
      </w:r>
      <w:r w:rsidR="00B327AE">
        <w:rPr>
          <w:rFonts w:ascii="Times New Roman" w:hAnsi="Times New Roman" w:cs="Times New Roman"/>
          <w:i/>
          <w:iCs/>
          <w:color w:val="222222"/>
          <w:sz w:val="20"/>
          <w:szCs w:val="20"/>
          <w:u w:color="222222"/>
          <w:shd w:val="clear" w:color="auto" w:fill="FFFFFF"/>
        </w:rPr>
        <w:t>supra</w:t>
      </w:r>
      <w:r w:rsidR="00B327AE">
        <w:rPr>
          <w:rFonts w:ascii="Times New Roman" w:hAnsi="Times New Roman" w:cs="Times New Roman"/>
          <w:iCs/>
          <w:color w:val="222222"/>
          <w:sz w:val="20"/>
          <w:szCs w:val="20"/>
          <w:u w:color="222222"/>
          <w:shd w:val="clear" w:color="auto" w:fill="FFFFFF"/>
        </w:rPr>
        <w:t xml:space="preserve"> note 110, at</w:t>
      </w:r>
      <w:r w:rsidRPr="003F0DD1">
        <w:rPr>
          <w:rFonts w:ascii="Times New Roman" w:hAnsi="Times New Roman" w:cs="Times New Roman"/>
          <w:color w:val="222222"/>
          <w:sz w:val="20"/>
          <w:szCs w:val="20"/>
          <w:u w:color="222222"/>
          <w:shd w:val="clear" w:color="auto" w:fill="FFFFFF"/>
        </w:rPr>
        <w:t xml:space="preserve"> 366.</w:t>
      </w:r>
    </w:p>
  </w:footnote>
  <w:footnote w:id="124">
    <w:p w14:paraId="249E53C7" w14:textId="0A9750C2"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1285.</w:t>
      </w:r>
    </w:p>
  </w:footnote>
  <w:footnote w:id="125">
    <w:p w14:paraId="6900AFB0" w14:textId="257EF68A"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1282.</w:t>
      </w:r>
    </w:p>
  </w:footnote>
  <w:footnote w:id="126">
    <w:p w14:paraId="5A60EE31" w14:textId="4BDC127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1285.</w:t>
      </w:r>
    </w:p>
  </w:footnote>
  <w:footnote w:id="127">
    <w:p w14:paraId="539EC649" w14:textId="3A1C2EC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1283.</w:t>
      </w:r>
    </w:p>
  </w:footnote>
  <w:footnote w:id="128">
    <w:p w14:paraId="0D29BB5C" w14:textId="4F0205A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t>
      </w:r>
      <w:r w:rsidRPr="003F0DD1">
        <w:rPr>
          <w:rFonts w:cs="Times New Roman"/>
          <w:color w:val="222222"/>
          <w:sz w:val="20"/>
          <w:szCs w:val="20"/>
          <w:u w:color="222222"/>
          <w:shd w:val="clear" w:color="auto" w:fill="FFFFFF"/>
        </w:rPr>
        <w:t>Murphy, </w:t>
      </w:r>
      <w:r>
        <w:rPr>
          <w:rFonts w:cs="Times New Roman"/>
          <w:i/>
          <w:iCs/>
          <w:color w:val="222222"/>
          <w:sz w:val="20"/>
          <w:szCs w:val="20"/>
          <w:u w:color="222222"/>
          <w:shd w:val="clear" w:color="auto" w:fill="FFFFFF"/>
        </w:rPr>
        <w:t>supra</w:t>
      </w:r>
      <w:r>
        <w:rPr>
          <w:rFonts w:cs="Times New Roman"/>
          <w:iCs/>
          <w:color w:val="222222"/>
          <w:sz w:val="20"/>
          <w:szCs w:val="20"/>
          <w:u w:color="222222"/>
          <w:shd w:val="clear" w:color="auto" w:fill="FFFFFF"/>
        </w:rPr>
        <w:t xml:space="preserve"> note </w:t>
      </w:r>
      <w:r w:rsidR="00B327AE">
        <w:rPr>
          <w:rFonts w:cs="Times New Roman"/>
          <w:iCs/>
          <w:color w:val="222222"/>
          <w:sz w:val="20"/>
          <w:szCs w:val="20"/>
          <w:u w:color="222222"/>
          <w:shd w:val="clear" w:color="auto" w:fill="FFFFFF"/>
        </w:rPr>
        <w:t>110</w:t>
      </w:r>
      <w:r w:rsidRPr="003F0DD1">
        <w:rPr>
          <w:rFonts w:cs="Times New Roman"/>
          <w:color w:val="222222"/>
          <w:sz w:val="20"/>
          <w:szCs w:val="20"/>
          <w:u w:color="222222"/>
          <w:shd w:val="clear" w:color="auto" w:fill="FFFFFF"/>
        </w:rPr>
        <w:t xml:space="preserve">, </w:t>
      </w:r>
      <w:r w:rsidRPr="00123FCD">
        <w:rPr>
          <w:rFonts w:cs="Times New Roman"/>
          <w:color w:val="222222"/>
          <w:sz w:val="20"/>
          <w:szCs w:val="20"/>
          <w:u w:color="222222"/>
          <w:shd w:val="clear" w:color="auto" w:fill="FFFFFF"/>
        </w:rPr>
        <w:t>at</w:t>
      </w:r>
      <w:r w:rsidRPr="003F0DD1">
        <w:rPr>
          <w:rFonts w:cs="Times New Roman"/>
          <w:color w:val="222222"/>
          <w:sz w:val="20"/>
          <w:szCs w:val="20"/>
          <w:u w:color="222222"/>
          <w:shd w:val="clear" w:color="auto" w:fill="FFFFFF"/>
        </w:rPr>
        <w:t xml:space="preserve"> 368.</w:t>
      </w:r>
    </w:p>
  </w:footnote>
  <w:footnote w:id="129">
    <w:p w14:paraId="15056DEC" w14:textId="5A0720E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71B3A">
        <w:rPr>
          <w:rFonts w:cs="Times New Roman"/>
          <w:i/>
          <w:color w:val="222222"/>
          <w:sz w:val="20"/>
          <w:szCs w:val="20"/>
          <w:u w:color="222222"/>
          <w:shd w:val="clear" w:color="auto" w:fill="FFFFFF"/>
        </w:rPr>
        <w:t>Id</w:t>
      </w:r>
      <w:r w:rsidRPr="003F0DD1">
        <w:rPr>
          <w:rFonts w:cs="Times New Roman"/>
          <w:color w:val="222222"/>
          <w:sz w:val="20"/>
          <w:szCs w:val="20"/>
          <w:u w:color="222222"/>
          <w:shd w:val="clear" w:color="auto" w:fill="FFFFFF"/>
        </w:rPr>
        <w:t>.</w:t>
      </w:r>
    </w:p>
  </w:footnote>
  <w:footnote w:id="130">
    <w:p w14:paraId="0C56C4B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shd w:val="clear" w:color="auto" w:fill="FFFFFF"/>
          <w:lang w:val="it-IT"/>
        </w:rPr>
        <w:t>Tromello v. Dibuono</w:t>
      </w:r>
      <w:r w:rsidRPr="003F0DD1">
        <w:rPr>
          <w:rFonts w:ascii="Times New Roman" w:hAnsi="Times New Roman" w:cs="Times New Roman"/>
          <w:sz w:val="20"/>
          <w:szCs w:val="20"/>
          <w:shd w:val="clear" w:color="auto" w:fill="FFFFFF"/>
        </w:rPr>
        <w:t>, 132 F. Supp. 2d 82, 85 (E.D.N.Y. 2000).</w:t>
      </w:r>
    </w:p>
  </w:footnote>
  <w:footnote w:id="131">
    <w:p w14:paraId="77C63D81" w14:textId="14B1569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shd w:val="clear" w:color="auto" w:fill="FFFFFF"/>
        </w:rPr>
        <w:t>Tromello v. Dibuono</w:t>
      </w:r>
      <w:r w:rsidRPr="003F0DD1">
        <w:rPr>
          <w:rFonts w:cs="Times New Roman"/>
          <w:sz w:val="20"/>
          <w:szCs w:val="20"/>
          <w:shd w:val="clear" w:color="auto" w:fill="FFFFFF"/>
        </w:rPr>
        <w:t xml:space="preserve">, 132 F. Supp. 2d </w:t>
      </w:r>
      <w:r>
        <w:rPr>
          <w:rFonts w:cs="Times New Roman"/>
          <w:sz w:val="20"/>
          <w:szCs w:val="20"/>
          <w:shd w:val="clear" w:color="auto" w:fill="FFFFFF"/>
        </w:rPr>
        <w:t>at</w:t>
      </w:r>
      <w:r w:rsidRPr="003F0DD1">
        <w:rPr>
          <w:rFonts w:cs="Times New Roman"/>
          <w:sz w:val="20"/>
          <w:szCs w:val="20"/>
          <w:shd w:val="clear" w:color="auto" w:fill="FFFFFF"/>
        </w:rPr>
        <w:t xml:space="preserve"> 84.</w:t>
      </w:r>
    </w:p>
  </w:footnote>
  <w:footnote w:id="132">
    <w:p w14:paraId="0B327C92" w14:textId="0E38A02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shd w:val="clear" w:color="auto" w:fill="FFFFFF"/>
        </w:rPr>
        <w:t>Tromello v. Dibuono</w:t>
      </w:r>
      <w:r w:rsidRPr="003F0DD1">
        <w:rPr>
          <w:rFonts w:cs="Times New Roman"/>
          <w:sz w:val="20"/>
          <w:szCs w:val="20"/>
          <w:shd w:val="clear" w:color="auto" w:fill="FFFFFF"/>
        </w:rPr>
        <w:t xml:space="preserve">, 132 F. Supp. 2d </w:t>
      </w:r>
      <w:r>
        <w:rPr>
          <w:rFonts w:cs="Times New Roman"/>
          <w:sz w:val="20"/>
          <w:szCs w:val="20"/>
          <w:shd w:val="clear" w:color="auto" w:fill="FFFFFF"/>
        </w:rPr>
        <w:t xml:space="preserve">at </w:t>
      </w:r>
      <w:r w:rsidRPr="003F0DD1">
        <w:rPr>
          <w:rFonts w:cs="Times New Roman"/>
          <w:sz w:val="20"/>
          <w:szCs w:val="20"/>
          <w:shd w:val="clear" w:color="auto" w:fill="FFFFFF"/>
        </w:rPr>
        <w:t>85.</w:t>
      </w:r>
    </w:p>
  </w:footnote>
  <w:footnote w:id="133">
    <w:p w14:paraId="2AE1A683" w14:textId="5CD960E8"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shd w:val="clear" w:color="auto" w:fill="FFFFFF"/>
        </w:rPr>
        <w:t>Tromello v. Dibuono</w:t>
      </w:r>
      <w:r w:rsidRPr="003F0DD1">
        <w:rPr>
          <w:rFonts w:cs="Times New Roman"/>
          <w:sz w:val="20"/>
          <w:szCs w:val="20"/>
          <w:shd w:val="clear" w:color="auto" w:fill="FFFFFF"/>
        </w:rPr>
        <w:t xml:space="preserve">, 132 F. Supp. 2d </w:t>
      </w:r>
      <w:r>
        <w:rPr>
          <w:rFonts w:cs="Times New Roman"/>
          <w:sz w:val="20"/>
          <w:szCs w:val="20"/>
          <w:shd w:val="clear" w:color="auto" w:fill="FFFFFF"/>
        </w:rPr>
        <w:t>at</w:t>
      </w:r>
      <w:r w:rsidRPr="003F0DD1">
        <w:rPr>
          <w:rFonts w:cs="Times New Roman"/>
          <w:sz w:val="20"/>
          <w:szCs w:val="20"/>
          <w:shd w:val="clear" w:color="auto" w:fill="FFFFFF"/>
        </w:rPr>
        <w:t xml:space="preserve"> 85.</w:t>
      </w:r>
    </w:p>
  </w:footnote>
  <w:footnote w:id="134">
    <w:p w14:paraId="2DBDAF48" w14:textId="123E1BD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Leigh Ann Davis, The Arc, </w:t>
      </w:r>
      <w:r w:rsidRPr="003F0DD1">
        <w:rPr>
          <w:rFonts w:cs="Times New Roman"/>
          <w:i/>
          <w:iCs/>
          <w:sz w:val="20"/>
          <w:szCs w:val="20"/>
        </w:rPr>
        <w:t>People with Intellectual Disabilities and the Criminal Justice System: Victims &amp; Suspects</w:t>
      </w:r>
      <w:r w:rsidRPr="003F0DD1">
        <w:rPr>
          <w:rFonts w:cs="Times New Roman"/>
          <w:sz w:val="20"/>
          <w:szCs w:val="20"/>
        </w:rPr>
        <w:t xml:space="preserve">, </w:t>
      </w:r>
      <w:hyperlink r:id="rId14" w:history="1">
        <w:r w:rsidRPr="003F0DD1">
          <w:rPr>
            <w:rStyle w:val="Hyperlink1"/>
            <w:rFonts w:cs="Times New Roman"/>
          </w:rPr>
          <w:t>http://www.thearc.org/page.aspx?pid=2458</w:t>
        </w:r>
      </w:hyperlink>
      <w:r w:rsidRPr="003F0DD1">
        <w:rPr>
          <w:rFonts w:cs="Times New Roman"/>
          <w:sz w:val="20"/>
          <w:szCs w:val="20"/>
        </w:rPr>
        <w:t>.</w:t>
      </w:r>
    </w:p>
  </w:footnote>
  <w:footnote w:id="135">
    <w:p w14:paraId="60FA1FC4" w14:textId="1A67914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Violence Against Women Online Resources: Research in Brief, “The Facts About Sexual Violence”</w:t>
      </w:r>
      <w:r w:rsidRPr="003F0DD1">
        <w:rPr>
          <w:rFonts w:cs="Times New Roman"/>
          <w:sz w:val="20"/>
          <w:szCs w:val="20"/>
        </w:rPr>
        <w:t xml:space="preserve"> Violence Against Women Online Resources 1, 3 (2009), </w:t>
      </w:r>
      <w:r w:rsidRPr="003F0DD1">
        <w:rPr>
          <w:rFonts w:cs="Times New Roman"/>
          <w:i/>
          <w:iCs/>
          <w:sz w:val="20"/>
          <w:szCs w:val="20"/>
        </w:rPr>
        <w:t>availabl</w:t>
      </w:r>
      <w:r>
        <w:rPr>
          <w:rFonts w:cs="Times New Roman"/>
          <w:i/>
          <w:iCs/>
          <w:sz w:val="20"/>
          <w:szCs w:val="20"/>
        </w:rPr>
        <w:t>e</w:t>
      </w:r>
      <w:r w:rsidRPr="003F0DD1">
        <w:rPr>
          <w:rFonts w:cs="Times New Roman"/>
          <w:i/>
          <w:iCs/>
          <w:sz w:val="20"/>
          <w:szCs w:val="20"/>
        </w:rPr>
        <w:t xml:space="preserve"> at </w:t>
      </w:r>
      <w:hyperlink r:id="rId15" w:history="1">
        <w:r w:rsidRPr="003F0DD1">
          <w:rPr>
            <w:rStyle w:val="Hyperlink1"/>
            <w:rFonts w:cs="Times New Roman"/>
          </w:rPr>
          <w:t>http://studentaffairs.duke.edu/sites/default/files/u7/sexualviolence-color.pdf</w:t>
        </w:r>
      </w:hyperlink>
      <w:r w:rsidRPr="003F0DD1">
        <w:rPr>
          <w:rFonts w:cs="Times New Roman"/>
          <w:sz w:val="20"/>
          <w:szCs w:val="20"/>
        </w:rPr>
        <w:t xml:space="preserve">. </w:t>
      </w:r>
    </w:p>
  </w:footnote>
  <w:footnote w:id="136">
    <w:p w14:paraId="76A18E66" w14:textId="2542B0D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Davis, </w:t>
      </w:r>
      <w:r>
        <w:rPr>
          <w:rFonts w:cs="Times New Roman"/>
          <w:i/>
          <w:sz w:val="20"/>
          <w:szCs w:val="20"/>
        </w:rPr>
        <w:t>supra</w:t>
      </w:r>
      <w:r>
        <w:rPr>
          <w:rFonts w:cs="Times New Roman"/>
          <w:sz w:val="20"/>
          <w:szCs w:val="20"/>
        </w:rPr>
        <w:t xml:space="preserve"> note 134</w:t>
      </w:r>
      <w:r w:rsidRPr="003F0DD1">
        <w:rPr>
          <w:rFonts w:cs="Times New Roman"/>
          <w:sz w:val="20"/>
          <w:szCs w:val="20"/>
        </w:rPr>
        <w:t>.</w:t>
      </w:r>
    </w:p>
  </w:footnote>
  <w:footnote w:id="137">
    <w:p w14:paraId="2EE0C3F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Joan Petersilia, </w:t>
      </w:r>
      <w:r w:rsidRPr="003F0DD1">
        <w:rPr>
          <w:rFonts w:cs="Times New Roman"/>
          <w:i/>
          <w:iCs/>
          <w:sz w:val="20"/>
          <w:szCs w:val="20"/>
        </w:rPr>
        <w:t>Invisible Victims: Violence Against Persons with Developmental Disabilities</w:t>
      </w:r>
      <w:r w:rsidRPr="003F0DD1">
        <w:rPr>
          <w:rFonts w:cs="Times New Roman"/>
          <w:sz w:val="20"/>
          <w:szCs w:val="20"/>
        </w:rPr>
        <w:t>, 27-WTR Hum. Rts. 9 (2000).</w:t>
      </w:r>
    </w:p>
  </w:footnote>
  <w:footnote w:id="138">
    <w:p w14:paraId="7FCB67CB" w14:textId="52380A2A"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671B3A">
        <w:rPr>
          <w:rFonts w:ascii="Times New Roman" w:hAnsi="Times New Roman" w:cs="Times New Roman"/>
          <w:i/>
          <w:sz w:val="20"/>
          <w:szCs w:val="20"/>
        </w:rPr>
        <w:t>Id</w:t>
      </w:r>
      <w:r w:rsidRPr="003F0DD1">
        <w:rPr>
          <w:rFonts w:ascii="Times New Roman" w:hAnsi="Times New Roman" w:cs="Times New Roman"/>
          <w:sz w:val="20"/>
          <w:szCs w:val="20"/>
        </w:rPr>
        <w:t>.</w:t>
      </w:r>
    </w:p>
  </w:footnote>
  <w:footnote w:id="139">
    <w:p w14:paraId="3959E15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Stephanie Ortoleva, </w:t>
      </w:r>
      <w:r w:rsidRPr="003F0DD1">
        <w:rPr>
          <w:rFonts w:cs="Times New Roman"/>
          <w:i/>
          <w:iCs/>
          <w:sz w:val="20"/>
          <w:szCs w:val="20"/>
        </w:rPr>
        <w:t>Inaccessible Justice: Human Rights, Persons with Disabilities and the Legal System</w:t>
      </w:r>
      <w:r w:rsidRPr="003F0DD1">
        <w:rPr>
          <w:rFonts w:cs="Times New Roman"/>
          <w:sz w:val="20"/>
          <w:szCs w:val="20"/>
        </w:rPr>
        <w:t xml:space="preserve">, 17 </w:t>
      </w:r>
      <w:r w:rsidRPr="003F0DD1">
        <w:rPr>
          <w:rFonts w:cs="Times New Roman"/>
          <w:smallCaps/>
          <w:sz w:val="20"/>
          <w:szCs w:val="20"/>
        </w:rPr>
        <w:t xml:space="preserve">ILSA J. Int'l &amp; Comp. L. </w:t>
      </w:r>
      <w:r w:rsidRPr="003F0DD1">
        <w:rPr>
          <w:rFonts w:cs="Times New Roman"/>
          <w:sz w:val="20"/>
          <w:szCs w:val="20"/>
        </w:rPr>
        <w:t>281, 311 (2011).</w:t>
      </w:r>
    </w:p>
  </w:footnote>
  <w:footnote w:id="140">
    <w:p w14:paraId="4827881F" w14:textId="7E7EEE7F"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Petersilia, </w:t>
      </w:r>
      <w:r>
        <w:rPr>
          <w:rFonts w:ascii="Times New Roman" w:hAnsi="Times New Roman" w:cs="Times New Roman"/>
          <w:i/>
          <w:iCs/>
          <w:sz w:val="20"/>
          <w:szCs w:val="20"/>
        </w:rPr>
        <w:t xml:space="preserve">supra </w:t>
      </w:r>
      <w:r>
        <w:rPr>
          <w:rFonts w:ascii="Times New Roman" w:hAnsi="Times New Roman" w:cs="Times New Roman"/>
          <w:iCs/>
          <w:sz w:val="20"/>
          <w:szCs w:val="20"/>
        </w:rPr>
        <w:t>note 137</w:t>
      </w:r>
      <w:r w:rsidRPr="003F0DD1">
        <w:rPr>
          <w:rFonts w:ascii="Times New Roman" w:hAnsi="Times New Roman" w:cs="Times New Roman"/>
          <w:sz w:val="20"/>
          <w:szCs w:val="20"/>
        </w:rPr>
        <w:t>,</w:t>
      </w:r>
      <w:r>
        <w:rPr>
          <w:rFonts w:ascii="Times New Roman" w:hAnsi="Times New Roman" w:cs="Times New Roman"/>
          <w:sz w:val="20"/>
          <w:szCs w:val="20"/>
        </w:rPr>
        <w:t xml:space="preserve"> at</w:t>
      </w:r>
      <w:r w:rsidRPr="003F0DD1">
        <w:rPr>
          <w:rFonts w:ascii="Times New Roman" w:hAnsi="Times New Roman" w:cs="Times New Roman"/>
          <w:sz w:val="20"/>
          <w:szCs w:val="20"/>
        </w:rPr>
        <w:t xml:space="preserve"> 10.</w:t>
      </w:r>
    </w:p>
  </w:footnote>
  <w:footnote w:id="141">
    <w:p w14:paraId="2F9DF736" w14:textId="500C6432"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2">
    <w:p w14:paraId="5A21A650" w14:textId="152030B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3">
    <w:p w14:paraId="57F620C8" w14:textId="31E1E6F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4">
    <w:p w14:paraId="18546AB5" w14:textId="4266CE4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Syracuse University School of Education, </w:t>
      </w:r>
      <w:r w:rsidRPr="003F0DD1">
        <w:rPr>
          <w:rFonts w:cs="Times New Roman"/>
          <w:i/>
          <w:iCs/>
          <w:sz w:val="20"/>
          <w:szCs w:val="20"/>
        </w:rPr>
        <w:t>What is Supported Typing?</w:t>
      </w:r>
      <w:r w:rsidRPr="003F0DD1">
        <w:rPr>
          <w:rFonts w:cs="Times New Roman"/>
          <w:sz w:val="20"/>
          <w:szCs w:val="20"/>
        </w:rPr>
        <w:t xml:space="preserve">, </w:t>
      </w:r>
      <w:hyperlink r:id="rId16" w:history="1">
        <w:r w:rsidRPr="003F0DD1">
          <w:rPr>
            <w:rStyle w:val="Hyperlink1"/>
            <w:rFonts w:cs="Times New Roman"/>
          </w:rPr>
          <w:t>http://soe.syr.edu/centers_institutes/institute_communication_inclusion/what_is_supported_typing/default.aspx</w:t>
        </w:r>
      </w:hyperlink>
      <w:r w:rsidRPr="003F0DD1">
        <w:rPr>
          <w:rFonts w:cs="Times New Roman"/>
          <w:sz w:val="20"/>
          <w:szCs w:val="20"/>
        </w:rPr>
        <w:t>.</w:t>
      </w:r>
    </w:p>
  </w:footnote>
  <w:footnote w:id="145">
    <w:p w14:paraId="798E5141" w14:textId="01D68E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6">
    <w:p w14:paraId="63D030F5" w14:textId="0FF3979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7">
    <w:p w14:paraId="44F31B11" w14:textId="77777777" w:rsidR="0064077B" w:rsidRPr="003F0DD1" w:rsidRDefault="0064077B" w:rsidP="003F0DD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See State v. Warden</w:t>
      </w:r>
      <w:r w:rsidRPr="003F0DD1">
        <w:rPr>
          <w:rFonts w:ascii="Times New Roman" w:hAnsi="Times New Roman" w:cs="Times New Roman"/>
          <w:sz w:val="20"/>
          <w:szCs w:val="20"/>
        </w:rPr>
        <w:t xml:space="preserve">, 891 P.2d 1074, 1088 (Kan. 1995) (court admitted a statement made through facilitated communication). </w:t>
      </w:r>
      <w:r w:rsidRPr="003F0DD1">
        <w:rPr>
          <w:rFonts w:ascii="Times New Roman" w:hAnsi="Times New Roman" w:cs="Times New Roman"/>
          <w:i/>
          <w:iCs/>
          <w:sz w:val="20"/>
          <w:szCs w:val="20"/>
        </w:rPr>
        <w:t>See also</w:t>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DSS ex. rel. Jenny S. v. Mark S.</w:t>
      </w:r>
      <w:r w:rsidRPr="003F0DD1">
        <w:rPr>
          <w:rFonts w:ascii="Times New Roman" w:hAnsi="Times New Roman" w:cs="Times New Roman"/>
          <w:sz w:val="20"/>
          <w:szCs w:val="20"/>
        </w:rPr>
        <w:t>, 593 N.Y.S.2d 142 (N.Y. Fam. Ct. 1992) (court refused to admit such a statement due to scientific uncertainty as to its accuracy).</w:t>
      </w:r>
    </w:p>
  </w:footnote>
  <w:footnote w:id="148">
    <w:p w14:paraId="3D6242E1" w14:textId="05E05549"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Chris Jennings, </w:t>
      </w:r>
      <w:r w:rsidRPr="003F0DD1">
        <w:rPr>
          <w:rFonts w:ascii="Times New Roman" w:hAnsi="Times New Roman" w:cs="Times New Roman"/>
          <w:i/>
          <w:iCs/>
          <w:sz w:val="20"/>
          <w:szCs w:val="20"/>
        </w:rPr>
        <w:t>Family Violence &amp; Sexual Assault: A Criminal Justice Response for Women with Disabilities</w:t>
      </w:r>
      <w:r w:rsidRPr="003F0DD1">
        <w:rPr>
          <w:rFonts w:ascii="Times New Roman" w:hAnsi="Times New Roman" w:cs="Times New Roman"/>
          <w:sz w:val="20"/>
          <w:szCs w:val="20"/>
        </w:rPr>
        <w:t xml:space="preserve">, </w:t>
      </w:r>
      <w:hyperlink r:id="rId17" w:history="1">
        <w:r w:rsidRPr="003F0DD1">
          <w:rPr>
            <w:rStyle w:val="Hyperlink5"/>
            <w:rFonts w:ascii="Times New Roman" w:hAnsi="Times New Roman" w:cs="Times New Roman"/>
          </w:rPr>
          <w:t>http://www.wwda.org.au/wp-content/uploads/2013/12//jennings4.pdf</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See also</w:t>
      </w:r>
      <w:r w:rsidRPr="003F0DD1">
        <w:rPr>
          <w:rFonts w:ascii="Times New Roman" w:hAnsi="Times New Roman" w:cs="Times New Roman"/>
          <w:sz w:val="20"/>
          <w:szCs w:val="20"/>
          <w:lang w:val="es-ES_tradnl"/>
        </w:rPr>
        <w:t xml:space="preserve"> Brandon Tuck, </w:t>
      </w:r>
      <w:r w:rsidRPr="003F0DD1">
        <w:rPr>
          <w:rFonts w:ascii="Times New Roman" w:hAnsi="Times New Roman" w:cs="Times New Roman"/>
          <w:i/>
          <w:iCs/>
          <w:sz w:val="20"/>
          <w:szCs w:val="20"/>
        </w:rPr>
        <w:t xml:space="preserve">Preserving Facts, Form and Function when a Deaf Witness with Minimal Language Skills Testifies in Court, </w:t>
      </w:r>
      <w:r w:rsidRPr="003F0DD1">
        <w:rPr>
          <w:rFonts w:ascii="Times New Roman" w:hAnsi="Times New Roman" w:cs="Times New Roman"/>
          <w:sz w:val="20"/>
          <w:szCs w:val="20"/>
        </w:rPr>
        <w:t xml:space="preserve">158 </w:t>
      </w:r>
      <w:r w:rsidRPr="003F0DD1">
        <w:rPr>
          <w:rFonts w:ascii="Times New Roman" w:hAnsi="Times New Roman" w:cs="Times New Roman"/>
          <w:smallCaps/>
          <w:sz w:val="20"/>
          <w:szCs w:val="20"/>
        </w:rPr>
        <w:t>U. Pa. L.R.</w:t>
      </w:r>
      <w:r w:rsidRPr="003F0DD1">
        <w:rPr>
          <w:rFonts w:ascii="Times New Roman" w:hAnsi="Times New Roman" w:cs="Times New Roman"/>
          <w:sz w:val="20"/>
          <w:szCs w:val="20"/>
        </w:rPr>
        <w:t xml:space="preserve"> 905, 917-920 (2010). </w:t>
      </w:r>
    </w:p>
  </w:footnote>
  <w:footnote w:id="149">
    <w:p w14:paraId="7DAC7432" w14:textId="1C323753"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sz w:val="20"/>
          <w:szCs w:val="20"/>
          <w:lang w:val="es-ES_tradnl"/>
        </w:rPr>
        <w:t xml:space="preserve">Tuck, </w:t>
      </w:r>
      <w:r>
        <w:rPr>
          <w:rFonts w:ascii="Times New Roman" w:hAnsi="Times New Roman" w:cs="Times New Roman"/>
          <w:i/>
          <w:iCs/>
          <w:sz w:val="20"/>
          <w:szCs w:val="20"/>
        </w:rPr>
        <w:t>supra</w:t>
      </w:r>
      <w:r>
        <w:rPr>
          <w:rFonts w:ascii="Times New Roman" w:hAnsi="Times New Roman" w:cs="Times New Roman"/>
          <w:iCs/>
          <w:sz w:val="20"/>
          <w:szCs w:val="20"/>
        </w:rPr>
        <w:t xml:space="preserve"> note 148</w:t>
      </w:r>
      <w:r w:rsidRPr="00671B3A">
        <w:rPr>
          <w:rFonts w:ascii="Times New Roman" w:hAnsi="Times New Roman" w:cs="Times New Roman"/>
          <w:iCs/>
          <w:sz w:val="20"/>
          <w:szCs w:val="20"/>
        </w:rPr>
        <w:t>,</w:t>
      </w:r>
      <w:r w:rsidRPr="003F0DD1">
        <w:rPr>
          <w:rFonts w:ascii="Times New Roman" w:hAnsi="Times New Roman" w:cs="Times New Roman"/>
          <w:i/>
          <w:iCs/>
          <w:sz w:val="20"/>
          <w:szCs w:val="20"/>
        </w:rPr>
        <w:t xml:space="preserve"> </w:t>
      </w:r>
      <w:r>
        <w:rPr>
          <w:rFonts w:ascii="Times New Roman" w:hAnsi="Times New Roman" w:cs="Times New Roman"/>
          <w:sz w:val="20"/>
          <w:szCs w:val="20"/>
        </w:rPr>
        <w:t>at</w:t>
      </w:r>
      <w:r w:rsidRPr="003F0DD1">
        <w:rPr>
          <w:rFonts w:ascii="Times New Roman" w:hAnsi="Times New Roman" w:cs="Times New Roman"/>
          <w:sz w:val="20"/>
          <w:szCs w:val="20"/>
        </w:rPr>
        <w:t xml:space="preserve"> 917-920. </w:t>
      </w:r>
    </w:p>
  </w:footnote>
  <w:footnote w:id="150">
    <w:p w14:paraId="5BF2A6C9" w14:textId="719CE8D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i/>
          <w:iCs/>
          <w:sz w:val="20"/>
          <w:szCs w:val="20"/>
        </w:rPr>
        <w:t>.</w:t>
      </w:r>
      <w:r w:rsidRPr="003F0DD1">
        <w:rPr>
          <w:rFonts w:cs="Times New Roman"/>
          <w:sz w:val="20"/>
          <w:szCs w:val="20"/>
        </w:rPr>
        <w:t xml:space="preserve"> </w:t>
      </w:r>
    </w:p>
  </w:footnote>
  <w:footnote w:id="151">
    <w:p w14:paraId="06F55A58" w14:textId="10A7E01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William Paul Deal &amp; Viktoria Kristiansson, </w:t>
      </w:r>
      <w:r w:rsidRPr="003F0DD1">
        <w:rPr>
          <w:rFonts w:cs="Times New Roman"/>
          <w:i/>
          <w:iCs/>
          <w:sz w:val="20"/>
          <w:szCs w:val="20"/>
        </w:rPr>
        <w:t>Victims and Witnesses with Developmental Disabilities and the Prosecution of Sexual Assault</w:t>
      </w:r>
      <w:r w:rsidRPr="003F0DD1">
        <w:rPr>
          <w:rFonts w:cs="Times New Roman"/>
          <w:sz w:val="20"/>
          <w:szCs w:val="20"/>
        </w:rPr>
        <w:t xml:space="preserve">, The National Center for the Prosecution of Violence Against Women, </w:t>
      </w:r>
      <w:r>
        <w:rPr>
          <w:rFonts w:cs="Times New Roman"/>
          <w:i/>
          <w:sz w:val="20"/>
          <w:szCs w:val="20"/>
        </w:rPr>
        <w:t xml:space="preserve">available at </w:t>
      </w:r>
      <w:hyperlink r:id="rId18" w:history="1">
        <w:r w:rsidRPr="003F0DD1">
          <w:rPr>
            <w:rStyle w:val="Hyperlink1"/>
            <w:rFonts w:cs="Times New Roman"/>
          </w:rPr>
          <w:t>http://www.ndaa.org/pdf/the_voice_vol_1_no_12_2007.pdf</w:t>
        </w:r>
      </w:hyperlink>
      <w:r w:rsidRPr="003F0DD1">
        <w:rPr>
          <w:rFonts w:cs="Times New Roman"/>
          <w:sz w:val="20"/>
          <w:szCs w:val="20"/>
        </w:rPr>
        <w:t xml:space="preserve">. </w:t>
      </w:r>
    </w:p>
  </w:footnote>
  <w:footnote w:id="152">
    <w:p w14:paraId="0D9795F9" w14:textId="62219F51"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sidRPr="003F0DD1">
        <w:rPr>
          <w:rFonts w:cs="Times New Roman"/>
          <w:sz w:val="20"/>
          <w:szCs w:val="20"/>
        </w:rPr>
        <w:t xml:space="preserve"> §27-16-1 et seq. (2013)); </w:t>
      </w:r>
      <w:r w:rsidRPr="003F0DD1">
        <w:rPr>
          <w:rFonts w:cs="Times New Roman"/>
          <w:i/>
          <w:iCs/>
          <w:sz w:val="20"/>
          <w:szCs w:val="20"/>
        </w:rPr>
        <w:t>See</w:t>
      </w:r>
      <w:r w:rsidRPr="003F0DD1">
        <w:rPr>
          <w:rFonts w:cs="Times New Roman"/>
          <w:sz w:val="20"/>
          <w:szCs w:val="20"/>
        </w:rPr>
        <w:t xml:space="preserve"> </w:t>
      </w:r>
      <w:r>
        <w:rPr>
          <w:rFonts w:cs="Times New Roman"/>
          <w:i/>
          <w:sz w:val="20"/>
          <w:szCs w:val="20"/>
        </w:rPr>
        <w:t>also</w:t>
      </w:r>
      <w:r>
        <w:rPr>
          <w:rFonts w:cs="Times New Roman"/>
          <w:sz w:val="20"/>
          <w:szCs w:val="20"/>
        </w:rPr>
        <w:t xml:space="preserve"> </w:t>
      </w:r>
      <w:r w:rsidRPr="003F0DD1">
        <w:rPr>
          <w:rFonts w:cs="Times New Roman"/>
          <w:i/>
          <w:iCs/>
          <w:sz w:val="20"/>
          <w:szCs w:val="20"/>
        </w:rPr>
        <w:t>Matter of Grady</w:t>
      </w:r>
      <w:r w:rsidRPr="003F0DD1">
        <w:rPr>
          <w:rFonts w:cs="Times New Roman"/>
          <w:sz w:val="20"/>
          <w:szCs w:val="20"/>
        </w:rPr>
        <w:t xml:space="preserve">, 85 N.J. 235 (1981) (“Lawmakers may have sincerely believed that the social welfare would improve if fewer handicapped people were born, but they were too quick to accept unproven scientific theories of eugenics.”). </w:t>
      </w:r>
    </w:p>
  </w:footnote>
  <w:footnote w:id="153">
    <w:p w14:paraId="0B61272F"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381 U.S. 479 (1965). </w:t>
      </w:r>
    </w:p>
  </w:footnote>
  <w:footnote w:id="154">
    <w:p w14:paraId="2928F29E"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405 U.S. 438 (1972). </w:t>
      </w:r>
    </w:p>
  </w:footnote>
  <w:footnote w:id="155">
    <w:p w14:paraId="22F06840"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426 A.2d 467 (N.J. 1981). </w:t>
      </w:r>
    </w:p>
  </w:footnote>
  <w:footnote w:id="156">
    <w:p w14:paraId="7BDC1259" w14:textId="35BD32A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426 A.2d </w:t>
      </w:r>
      <w:r>
        <w:rPr>
          <w:rFonts w:cs="Times New Roman"/>
          <w:sz w:val="20"/>
          <w:szCs w:val="20"/>
        </w:rPr>
        <w:t>at</w:t>
      </w:r>
      <w:r w:rsidRPr="003F0DD1">
        <w:rPr>
          <w:rFonts w:cs="Times New Roman"/>
          <w:sz w:val="20"/>
          <w:szCs w:val="20"/>
        </w:rPr>
        <w:t xml:space="preserve"> 482.</w:t>
      </w:r>
    </w:p>
  </w:footnote>
  <w:footnote w:id="157">
    <w:p w14:paraId="44B8DBE4" w14:textId="25BFDFF2"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426 A.2d </w:t>
      </w:r>
      <w:r>
        <w:rPr>
          <w:rFonts w:cs="Times New Roman"/>
          <w:sz w:val="20"/>
          <w:szCs w:val="20"/>
        </w:rPr>
        <w:t>at</w:t>
      </w:r>
      <w:r w:rsidRPr="003F0DD1">
        <w:rPr>
          <w:rFonts w:cs="Times New Roman"/>
          <w:sz w:val="20"/>
          <w:szCs w:val="20"/>
        </w:rPr>
        <w:t xml:space="preserve"> 483.</w:t>
      </w:r>
    </w:p>
  </w:footnote>
  <w:footnote w:id="158">
    <w:p w14:paraId="02D8818A"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447 A.2d 1244 (M.D. 1982). </w:t>
      </w:r>
    </w:p>
  </w:footnote>
  <w:footnote w:id="159">
    <w:p w14:paraId="46EE3817" w14:textId="2B07AE5D"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447 A.2d </w:t>
      </w:r>
      <w:r>
        <w:rPr>
          <w:rFonts w:cs="Times New Roman"/>
          <w:sz w:val="20"/>
          <w:szCs w:val="20"/>
        </w:rPr>
        <w:t>at 1254</w:t>
      </w:r>
      <w:r w:rsidRPr="003F0DD1">
        <w:rPr>
          <w:rFonts w:cs="Times New Roman"/>
          <w:sz w:val="20"/>
          <w:szCs w:val="20"/>
        </w:rPr>
        <w:t>.</w:t>
      </w:r>
    </w:p>
  </w:footnote>
  <w:footnote w:id="160">
    <w:p w14:paraId="3BEAA399" w14:textId="6181595B"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447 A.2d </w:t>
      </w:r>
      <w:r>
        <w:rPr>
          <w:rFonts w:cs="Times New Roman"/>
          <w:sz w:val="20"/>
          <w:szCs w:val="20"/>
        </w:rPr>
        <w:t xml:space="preserve">at </w:t>
      </w:r>
      <w:r w:rsidRPr="003F0DD1">
        <w:rPr>
          <w:rFonts w:cs="Times New Roman"/>
          <w:sz w:val="20"/>
          <w:szCs w:val="20"/>
        </w:rPr>
        <w:t>1254.</w:t>
      </w:r>
    </w:p>
  </w:footnote>
  <w:footnote w:id="161">
    <w:p w14:paraId="3392FBE0"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329 S.E.2d 630 (N.C. 1985). </w:t>
      </w:r>
    </w:p>
  </w:footnote>
  <w:footnote w:id="162">
    <w:p w14:paraId="28D58B4E" w14:textId="544FAAB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329 S.E.2d </w:t>
      </w:r>
      <w:r>
        <w:rPr>
          <w:rFonts w:cs="Times New Roman"/>
          <w:sz w:val="20"/>
          <w:szCs w:val="20"/>
        </w:rPr>
        <w:t>at</w:t>
      </w:r>
      <w:r w:rsidRPr="003F0DD1">
        <w:rPr>
          <w:rFonts w:cs="Times New Roman"/>
          <w:sz w:val="20"/>
          <w:szCs w:val="20"/>
        </w:rPr>
        <w:t xml:space="preserve"> 636.</w:t>
      </w:r>
    </w:p>
  </w:footnote>
  <w:footnote w:id="163">
    <w:p w14:paraId="234DFB64" w14:textId="7A87457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329 S.E.2d </w:t>
      </w:r>
      <w:r>
        <w:rPr>
          <w:rFonts w:cs="Times New Roman"/>
          <w:sz w:val="20"/>
          <w:szCs w:val="20"/>
        </w:rPr>
        <w:t>at</w:t>
      </w:r>
      <w:r w:rsidRPr="003F0DD1">
        <w:rPr>
          <w:rFonts w:cs="Times New Roman"/>
          <w:sz w:val="20"/>
          <w:szCs w:val="20"/>
        </w:rPr>
        <w:t xml:space="preserve"> 636.</w:t>
      </w:r>
    </w:p>
  </w:footnote>
  <w:footnote w:id="164">
    <w:p w14:paraId="01B1ECD2"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770 P.2d 760 (Cal. 1985). </w:t>
      </w:r>
    </w:p>
  </w:footnote>
  <w:footnote w:id="165">
    <w:p w14:paraId="21D6DE53" w14:textId="77C2DEF3"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770 P.2d </w:t>
      </w:r>
      <w:r>
        <w:rPr>
          <w:rFonts w:cs="Times New Roman"/>
          <w:sz w:val="20"/>
          <w:szCs w:val="20"/>
        </w:rPr>
        <w:t>at</w:t>
      </w:r>
      <w:r w:rsidRPr="003F0DD1">
        <w:rPr>
          <w:rFonts w:cs="Times New Roman"/>
          <w:sz w:val="20"/>
          <w:szCs w:val="20"/>
        </w:rPr>
        <w:t xml:space="preserve"> 764.</w:t>
      </w:r>
    </w:p>
  </w:footnote>
  <w:footnote w:id="166">
    <w:p w14:paraId="4B1BEC2C" w14:textId="087A8C16"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770 P.2d </w:t>
      </w:r>
      <w:r>
        <w:rPr>
          <w:rFonts w:cs="Times New Roman"/>
          <w:sz w:val="20"/>
          <w:szCs w:val="20"/>
        </w:rPr>
        <w:t>at 778</w:t>
      </w:r>
      <w:r w:rsidRPr="003F0DD1">
        <w:rPr>
          <w:rFonts w:cs="Times New Roman"/>
          <w:sz w:val="20"/>
          <w:szCs w:val="20"/>
        </w:rPr>
        <w:t>.</w:t>
      </w:r>
    </w:p>
  </w:footnote>
  <w:footnote w:id="167">
    <w:p w14:paraId="0940328C" w14:textId="753E299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770 P.2d </w:t>
      </w:r>
      <w:r>
        <w:rPr>
          <w:rFonts w:cs="Times New Roman"/>
          <w:sz w:val="20"/>
          <w:szCs w:val="20"/>
        </w:rPr>
        <w:t>at</w:t>
      </w:r>
      <w:r w:rsidRPr="003F0DD1">
        <w:rPr>
          <w:rFonts w:cs="Times New Roman"/>
          <w:sz w:val="20"/>
          <w:szCs w:val="20"/>
        </w:rPr>
        <w:t xml:space="preserve"> 772</w:t>
      </w:r>
      <w:r>
        <w:rPr>
          <w:rFonts w:cs="Times New Roman"/>
          <w:sz w:val="20"/>
          <w:szCs w:val="20"/>
        </w:rPr>
        <w:t>.</w:t>
      </w:r>
    </w:p>
  </w:footnote>
  <w:footnote w:id="168">
    <w:p w14:paraId="7EDFE12C" w14:textId="4533A503"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770 P.2d </w:t>
      </w:r>
      <w:r>
        <w:rPr>
          <w:rFonts w:cs="Times New Roman"/>
          <w:sz w:val="20"/>
          <w:szCs w:val="20"/>
        </w:rPr>
        <w:t>at</w:t>
      </w:r>
      <w:r w:rsidRPr="003F0DD1">
        <w:rPr>
          <w:rFonts w:cs="Times New Roman"/>
          <w:sz w:val="20"/>
          <w:szCs w:val="20"/>
        </w:rPr>
        <w:t xml:space="preserve"> 774.</w:t>
      </w:r>
    </w:p>
  </w:footnote>
  <w:footnote w:id="169">
    <w:p w14:paraId="6DCE5DA7"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790 P.2d 819 (Colo. 1990). </w:t>
      </w:r>
    </w:p>
  </w:footnote>
  <w:footnote w:id="170">
    <w:p w14:paraId="20EBB57F" w14:textId="07139E1A"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790 P.2d </w:t>
      </w:r>
      <w:r>
        <w:rPr>
          <w:rFonts w:cs="Times New Roman"/>
          <w:sz w:val="20"/>
          <w:szCs w:val="20"/>
        </w:rPr>
        <w:t>at</w:t>
      </w:r>
      <w:r w:rsidRPr="003F0DD1">
        <w:rPr>
          <w:rFonts w:cs="Times New Roman"/>
          <w:sz w:val="20"/>
          <w:szCs w:val="20"/>
        </w:rPr>
        <w:t xml:space="preserve"> 822.</w:t>
      </w:r>
    </w:p>
  </w:footnote>
  <w:footnote w:id="171">
    <w:p w14:paraId="0D9E9D49" w14:textId="7A7743E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790 P.2d </w:t>
      </w:r>
      <w:r>
        <w:rPr>
          <w:rFonts w:cs="Times New Roman"/>
          <w:sz w:val="20"/>
          <w:szCs w:val="20"/>
        </w:rPr>
        <w:t>at</w:t>
      </w:r>
      <w:r w:rsidRPr="003F0DD1">
        <w:rPr>
          <w:rFonts w:cs="Times New Roman"/>
          <w:sz w:val="20"/>
          <w:szCs w:val="20"/>
        </w:rPr>
        <w:t xml:space="preserve"> 823. </w:t>
      </w:r>
    </w:p>
  </w:footnote>
  <w:footnote w:id="172">
    <w:p w14:paraId="1904AC53" w14:textId="5C768B02"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790 P.2d </w:t>
      </w:r>
      <w:r>
        <w:rPr>
          <w:rFonts w:cs="Times New Roman"/>
          <w:sz w:val="20"/>
          <w:szCs w:val="20"/>
        </w:rPr>
        <w:t>at</w:t>
      </w:r>
      <w:r w:rsidRPr="003F0DD1">
        <w:rPr>
          <w:rFonts w:cs="Times New Roman"/>
          <w:sz w:val="20"/>
          <w:szCs w:val="20"/>
        </w:rPr>
        <w:t xml:space="preserve"> 824.</w:t>
      </w:r>
    </w:p>
  </w:footnote>
  <w:footnote w:id="173">
    <w:p w14:paraId="6353A578" w14:textId="3F96C034"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790 P.2d </w:t>
      </w:r>
      <w:r>
        <w:rPr>
          <w:rFonts w:cs="Times New Roman"/>
          <w:sz w:val="20"/>
          <w:szCs w:val="20"/>
        </w:rPr>
        <w:t>at</w:t>
      </w:r>
      <w:r w:rsidRPr="003F0DD1">
        <w:rPr>
          <w:rFonts w:cs="Times New Roman"/>
          <w:sz w:val="20"/>
          <w:szCs w:val="20"/>
        </w:rPr>
        <w:t xml:space="preserve"> 823-24.</w:t>
      </w:r>
    </w:p>
  </w:footnote>
  <w:footnote w:id="174">
    <w:p w14:paraId="1AFFEB13"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637 P.2d 366 (Colo. 1981). </w:t>
      </w:r>
    </w:p>
  </w:footnote>
  <w:footnote w:id="175">
    <w:p w14:paraId="66EA02C1"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640 A.2d 427 (Pa. Super. Ct. 1994). </w:t>
      </w:r>
    </w:p>
  </w:footnote>
  <w:footnote w:id="176">
    <w:p w14:paraId="3A789190"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304 A.2d 1376 (Pa. Super. Ct. 1982). </w:t>
      </w:r>
    </w:p>
  </w:footnote>
  <w:footnote w:id="177">
    <w:p w14:paraId="3E7506EC" w14:textId="1D5802FF"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640 A.2d </w:t>
      </w:r>
      <w:r>
        <w:rPr>
          <w:rFonts w:cs="Times New Roman"/>
          <w:sz w:val="20"/>
          <w:szCs w:val="20"/>
        </w:rPr>
        <w:t>at</w:t>
      </w:r>
      <w:r w:rsidRPr="003F0DD1">
        <w:rPr>
          <w:rFonts w:cs="Times New Roman"/>
          <w:sz w:val="20"/>
          <w:szCs w:val="20"/>
        </w:rPr>
        <w:t xml:space="preserve"> 439.</w:t>
      </w:r>
    </w:p>
  </w:footnote>
  <w:footnote w:id="178">
    <w:p w14:paraId="2A975BC2"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160 Cal Rptr.3d 269 (Cal. Ct. App. 2013). </w:t>
      </w:r>
    </w:p>
  </w:footnote>
  <w:footnote w:id="179">
    <w:p w14:paraId="0BA7FB05" w14:textId="097CF65D"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160 Cal Rptr.3d </w:t>
      </w:r>
      <w:r>
        <w:rPr>
          <w:rFonts w:cs="Times New Roman"/>
          <w:sz w:val="20"/>
          <w:szCs w:val="20"/>
        </w:rPr>
        <w:t>at 274</w:t>
      </w:r>
      <w:r w:rsidRPr="003F0DD1">
        <w:rPr>
          <w:rFonts w:cs="Times New Roman"/>
          <w:sz w:val="20"/>
          <w:szCs w:val="20"/>
        </w:rPr>
        <w:t>.</w:t>
      </w:r>
    </w:p>
  </w:footnote>
  <w:footnote w:id="180">
    <w:p w14:paraId="4655A49D" w14:textId="4A53CF6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160 Cal Rptr.3d </w:t>
      </w:r>
      <w:r>
        <w:rPr>
          <w:rFonts w:cs="Times New Roman"/>
          <w:sz w:val="20"/>
          <w:szCs w:val="20"/>
        </w:rPr>
        <w:t>at</w:t>
      </w:r>
      <w:r w:rsidRPr="003F0DD1">
        <w:rPr>
          <w:rFonts w:cs="Times New Roman"/>
          <w:sz w:val="20"/>
          <w:szCs w:val="20"/>
        </w:rPr>
        <w:t xml:space="preserve"> 283.</w:t>
      </w:r>
    </w:p>
  </w:footnote>
  <w:footnote w:id="181">
    <w:p w14:paraId="5E9904E8"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580 A.2d 155 (Me. 1990). </w:t>
      </w:r>
    </w:p>
  </w:footnote>
  <w:footnote w:id="182">
    <w:p w14:paraId="2F5E2B5F" w14:textId="5540BF4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580 A.2d </w:t>
      </w:r>
      <w:r>
        <w:rPr>
          <w:rFonts w:cs="Times New Roman"/>
          <w:sz w:val="20"/>
          <w:szCs w:val="20"/>
        </w:rPr>
        <w:t>at</w:t>
      </w:r>
      <w:r w:rsidRPr="003F0DD1">
        <w:rPr>
          <w:rFonts w:cs="Times New Roman"/>
          <w:sz w:val="20"/>
          <w:szCs w:val="20"/>
        </w:rPr>
        <w:t xml:space="preserve"> 157.</w:t>
      </w:r>
    </w:p>
  </w:footnote>
  <w:footnote w:id="183">
    <w:p w14:paraId="4AB2B55A" w14:textId="36430BD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580 A.2d </w:t>
      </w:r>
      <w:r>
        <w:rPr>
          <w:rFonts w:cs="Times New Roman"/>
          <w:sz w:val="20"/>
          <w:szCs w:val="20"/>
        </w:rPr>
        <w:t>at</w:t>
      </w:r>
      <w:r w:rsidRPr="003F0DD1">
        <w:rPr>
          <w:rFonts w:cs="Times New Roman"/>
          <w:sz w:val="20"/>
          <w:szCs w:val="20"/>
        </w:rPr>
        <w:t xml:space="preserve"> 157.</w:t>
      </w:r>
    </w:p>
  </w:footnote>
  <w:footnote w:id="184">
    <w:p w14:paraId="44E40F5E"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112 F.3d 682 (3rd Cir. 1997). </w:t>
      </w:r>
    </w:p>
  </w:footnote>
  <w:footnote w:id="185">
    <w:p w14:paraId="7C2E6289" w14:textId="33E33CA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112 F.3d </w:t>
      </w:r>
      <w:r>
        <w:rPr>
          <w:rFonts w:cs="Times New Roman"/>
          <w:sz w:val="20"/>
          <w:szCs w:val="20"/>
        </w:rPr>
        <w:t>at</w:t>
      </w:r>
      <w:r w:rsidRPr="003F0DD1">
        <w:rPr>
          <w:rFonts w:cs="Times New Roman"/>
          <w:sz w:val="20"/>
          <w:szCs w:val="20"/>
        </w:rPr>
        <w:t xml:space="preserve"> 684.</w:t>
      </w:r>
    </w:p>
  </w:footnote>
  <w:footnote w:id="186">
    <w:p w14:paraId="1A87165C" w14:textId="690E3CA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112 F.3d </w:t>
      </w:r>
      <w:r>
        <w:rPr>
          <w:rFonts w:cs="Times New Roman"/>
          <w:sz w:val="20"/>
          <w:szCs w:val="20"/>
        </w:rPr>
        <w:t>at 688</w:t>
      </w:r>
      <w:r w:rsidRPr="003F0DD1">
        <w:rPr>
          <w:rFonts w:cs="Times New Roman"/>
          <w:sz w:val="20"/>
          <w:szCs w:val="20"/>
        </w:rPr>
        <w:t xml:space="preserve"> (quoting </w:t>
      </w:r>
      <w:r w:rsidRPr="003F0DD1">
        <w:rPr>
          <w:rFonts w:cs="Times New Roman"/>
          <w:i/>
          <w:iCs/>
          <w:sz w:val="20"/>
          <w:szCs w:val="20"/>
        </w:rPr>
        <w:t>Novotny v. Great Am. Fed. Sav. And Loan Ass’n</w:t>
      </w:r>
      <w:r w:rsidRPr="003F0DD1">
        <w:rPr>
          <w:rFonts w:cs="Times New Roman"/>
          <w:sz w:val="20"/>
          <w:szCs w:val="20"/>
        </w:rPr>
        <w:t xml:space="preserve">, 584 F.2d 1235, 1243 (3rd Cir. 1978). </w:t>
      </w:r>
    </w:p>
  </w:footnote>
  <w:footnote w:id="187">
    <w:p w14:paraId="4B71932D"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232 F.3d 360, 371 (3rd Cir. 2000).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6CEC" w14:textId="77777777" w:rsidR="0064077B" w:rsidRDefault="0064077B" w:rsidP="00A67F2E">
    <w:pPr>
      <w:pStyle w:val="Header"/>
      <w:tabs>
        <w:tab w:val="left" w:pos="3133"/>
      </w:tabs>
    </w:pPr>
    <w:r>
      <w:tab/>
    </w:r>
    <w:r w:rsidRPr="00C67D0B">
      <w:rPr>
        <w:rFonts w:cs="Arial"/>
        <w:b/>
        <w:noProof/>
        <w:color w:val="E5DFEC" w:themeColor="accent4" w:themeTint="33"/>
        <w:sz w:val="28"/>
        <w:lang w:eastAsia="en-US"/>
      </w:rPr>
      <w:drawing>
        <wp:anchor distT="0" distB="0" distL="114300" distR="114300" simplePos="0" relativeHeight="251659264" behindDoc="0" locked="1" layoutInCell="0" allowOverlap="0" wp14:anchorId="3720F26D" wp14:editId="06011818">
          <wp:simplePos x="0" y="0"/>
          <wp:positionH relativeFrom="page">
            <wp:posOffset>622935</wp:posOffset>
          </wp:positionH>
          <wp:positionV relativeFrom="page">
            <wp:posOffset>231140</wp:posOffset>
          </wp:positionV>
          <wp:extent cx="6403340" cy="800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3340" cy="800100"/>
                  </a:xfrm>
                  <a:prstGeom prst="rect">
                    <a:avLst/>
                  </a:prstGeom>
                </pic:spPr>
              </pic:pic>
            </a:graphicData>
          </a:graphic>
          <wp14:sizeRelH relativeFrom="margin">
            <wp14:pctWidth>0</wp14:pctWidth>
          </wp14:sizeRelH>
          <wp14:sizeRelV relativeFrom="margin">
            <wp14:pctHeight>0</wp14:pctHeight>
          </wp14:sizeRelV>
        </wp:anchor>
      </w:drawing>
    </w:r>
    <w:r>
      <w:tab/>
    </w:r>
  </w:p>
  <w:p w14:paraId="775941D1" w14:textId="77777777" w:rsidR="0064077B" w:rsidRDefault="006407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057A" w14:textId="77777777" w:rsidR="0064077B" w:rsidRDefault="0064077B" w:rsidP="00A67F2E">
    <w:pPr>
      <w:pStyle w:val="Header"/>
      <w:tabs>
        <w:tab w:val="left" w:pos="3133"/>
      </w:tabs>
    </w:pPr>
    <w:r>
      <w:tab/>
    </w:r>
    <w:r>
      <w:tab/>
    </w:r>
  </w:p>
  <w:p w14:paraId="2A50FEA0" w14:textId="77777777" w:rsidR="0064077B" w:rsidRDefault="006407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B6B404"/>
    <w:lvl w:ilvl="0">
      <w:start w:val="1"/>
      <w:numFmt w:val="decimal"/>
      <w:pStyle w:val="ListNumber"/>
      <w:lvlText w:val="%1."/>
      <w:lvlJc w:val="left"/>
      <w:pPr>
        <w:tabs>
          <w:tab w:val="num" w:pos="360"/>
        </w:tabs>
        <w:ind w:left="360" w:hanging="360"/>
      </w:pPr>
    </w:lvl>
  </w:abstractNum>
  <w:abstractNum w:abstractNumId="1">
    <w:nsid w:val="023F6990"/>
    <w:multiLevelType w:val="multilevel"/>
    <w:tmpl w:val="062ADD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C32DD2"/>
    <w:multiLevelType w:val="hybridMultilevel"/>
    <w:tmpl w:val="5DCA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6048"/>
    <w:multiLevelType w:val="hybridMultilevel"/>
    <w:tmpl w:val="D72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4F8"/>
    <w:multiLevelType w:val="hybridMultilevel"/>
    <w:tmpl w:val="E9E21854"/>
    <w:lvl w:ilvl="0" w:tplc="51F822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16B5"/>
    <w:multiLevelType w:val="multilevel"/>
    <w:tmpl w:val="B1AC8504"/>
    <w:lvl w:ilvl="0">
      <w:start w:val="1"/>
      <w:numFmt w:val="decimal"/>
      <w:lvlText w:val="%1."/>
      <w:lvlJc w:val="left"/>
      <w:pPr>
        <w:tabs>
          <w:tab w:val="num" w:pos="104"/>
        </w:tabs>
      </w:pPr>
      <w:rPr>
        <w:position w:val="0"/>
        <w:sz w:val="24"/>
        <w:szCs w:val="24"/>
        <w:u w:val="single" w:color="000000"/>
        <w:lang w:val="en-US"/>
      </w:rPr>
    </w:lvl>
    <w:lvl w:ilvl="1">
      <w:start w:val="1"/>
      <w:numFmt w:val="decimal"/>
      <w:lvlText w:val="%2."/>
      <w:lvlJc w:val="left"/>
      <w:pPr>
        <w:tabs>
          <w:tab w:val="num" w:pos="1410"/>
        </w:tabs>
        <w:ind w:left="1410" w:hanging="330"/>
      </w:pPr>
      <w:rPr>
        <w:position w:val="0"/>
        <w:sz w:val="24"/>
        <w:szCs w:val="24"/>
        <w:u w:val="single" w:color="000000"/>
        <w:lang w:val="en-US"/>
      </w:rPr>
    </w:lvl>
    <w:lvl w:ilvl="2">
      <w:start w:val="1"/>
      <w:numFmt w:val="lowerRoman"/>
      <w:lvlText w:val="%3."/>
      <w:lvlJc w:val="left"/>
      <w:pPr>
        <w:tabs>
          <w:tab w:val="num" w:pos="104"/>
        </w:tabs>
      </w:pPr>
      <w:rPr>
        <w:position w:val="0"/>
        <w:sz w:val="24"/>
        <w:szCs w:val="24"/>
        <w:u w:val="single" w:color="000000"/>
        <w:lang w:val="en-US"/>
      </w:rPr>
    </w:lvl>
    <w:lvl w:ilvl="3">
      <w:start w:val="1"/>
      <w:numFmt w:val="decimal"/>
      <w:lvlText w:val="%4."/>
      <w:lvlJc w:val="left"/>
      <w:pPr>
        <w:tabs>
          <w:tab w:val="num" w:pos="104"/>
        </w:tabs>
      </w:pPr>
      <w:rPr>
        <w:position w:val="0"/>
        <w:sz w:val="24"/>
        <w:szCs w:val="24"/>
        <w:u w:val="single" w:color="000000"/>
        <w:lang w:val="en-US"/>
      </w:rPr>
    </w:lvl>
    <w:lvl w:ilvl="4">
      <w:start w:val="1"/>
      <w:numFmt w:val="lowerLetter"/>
      <w:lvlText w:val="%5."/>
      <w:lvlJc w:val="left"/>
      <w:pPr>
        <w:tabs>
          <w:tab w:val="num" w:pos="104"/>
        </w:tabs>
      </w:pPr>
      <w:rPr>
        <w:position w:val="0"/>
        <w:sz w:val="24"/>
        <w:szCs w:val="24"/>
        <w:u w:val="single" w:color="000000"/>
        <w:lang w:val="en-US"/>
      </w:rPr>
    </w:lvl>
    <w:lvl w:ilvl="5">
      <w:start w:val="1"/>
      <w:numFmt w:val="lowerRoman"/>
      <w:lvlText w:val="%6."/>
      <w:lvlJc w:val="left"/>
      <w:pPr>
        <w:tabs>
          <w:tab w:val="num" w:pos="104"/>
        </w:tabs>
      </w:pPr>
      <w:rPr>
        <w:position w:val="0"/>
        <w:sz w:val="24"/>
        <w:szCs w:val="24"/>
        <w:u w:val="single" w:color="000000"/>
        <w:lang w:val="en-US"/>
      </w:rPr>
    </w:lvl>
    <w:lvl w:ilvl="6">
      <w:start w:val="1"/>
      <w:numFmt w:val="decimal"/>
      <w:lvlText w:val="%7."/>
      <w:lvlJc w:val="left"/>
      <w:pPr>
        <w:tabs>
          <w:tab w:val="num" w:pos="104"/>
        </w:tabs>
      </w:pPr>
      <w:rPr>
        <w:position w:val="0"/>
        <w:sz w:val="24"/>
        <w:szCs w:val="24"/>
        <w:u w:val="single" w:color="000000"/>
        <w:lang w:val="en-US"/>
      </w:rPr>
    </w:lvl>
    <w:lvl w:ilvl="7">
      <w:start w:val="1"/>
      <w:numFmt w:val="lowerLetter"/>
      <w:lvlText w:val="%8."/>
      <w:lvlJc w:val="left"/>
      <w:pPr>
        <w:tabs>
          <w:tab w:val="num" w:pos="104"/>
        </w:tabs>
      </w:pPr>
      <w:rPr>
        <w:position w:val="0"/>
        <w:sz w:val="24"/>
        <w:szCs w:val="24"/>
        <w:u w:val="single" w:color="000000"/>
        <w:lang w:val="en-US"/>
      </w:rPr>
    </w:lvl>
    <w:lvl w:ilvl="8">
      <w:start w:val="1"/>
      <w:numFmt w:val="lowerRoman"/>
      <w:lvlText w:val="%9."/>
      <w:lvlJc w:val="left"/>
      <w:pPr>
        <w:tabs>
          <w:tab w:val="num" w:pos="104"/>
        </w:tabs>
      </w:pPr>
      <w:rPr>
        <w:position w:val="0"/>
        <w:sz w:val="24"/>
        <w:szCs w:val="24"/>
        <w:u w:val="single" w:color="000000"/>
        <w:lang w:val="en-US"/>
      </w:rPr>
    </w:lvl>
  </w:abstractNum>
  <w:abstractNum w:abstractNumId="6">
    <w:nsid w:val="25531462"/>
    <w:multiLevelType w:val="hybridMultilevel"/>
    <w:tmpl w:val="6C2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36B8C"/>
    <w:multiLevelType w:val="multilevel"/>
    <w:tmpl w:val="4AFE80D0"/>
    <w:styleLink w:val="List21"/>
    <w:lvl w:ilvl="0">
      <w:start w:val="1"/>
      <w:numFmt w:val="upperLetter"/>
      <w:lvlText w:val="%1."/>
      <w:lvlJc w:val="left"/>
      <w:pPr>
        <w:tabs>
          <w:tab w:val="num" w:pos="330"/>
        </w:tabs>
        <w:ind w:left="330" w:hanging="330"/>
      </w:pPr>
      <w:rPr>
        <w:position w:val="0"/>
        <w:sz w:val="24"/>
        <w:szCs w:val="24"/>
        <w:u w:color="000000"/>
        <w:lang w:val="en-US"/>
      </w:rPr>
    </w:lvl>
    <w:lvl w:ilvl="1">
      <w:start w:val="1"/>
      <w:numFmt w:val="upperLetter"/>
      <w:lvlText w:val="%2."/>
      <w:lvlJc w:val="left"/>
      <w:pPr>
        <w:tabs>
          <w:tab w:val="num" w:pos="753"/>
        </w:tabs>
        <w:ind w:left="753" w:hanging="393"/>
      </w:pPr>
      <w:rPr>
        <w:position w:val="0"/>
        <w:sz w:val="24"/>
        <w:szCs w:val="24"/>
        <w:u w:color="000000"/>
        <w:lang w:val="en-US"/>
      </w:rPr>
    </w:lvl>
    <w:lvl w:ilvl="2">
      <w:start w:val="1"/>
      <w:numFmt w:val="upperLetter"/>
      <w:lvlText w:val="%3."/>
      <w:lvlJc w:val="left"/>
      <w:pPr>
        <w:tabs>
          <w:tab w:val="num" w:pos="1113"/>
        </w:tabs>
        <w:ind w:left="1113" w:hanging="393"/>
      </w:pPr>
      <w:rPr>
        <w:position w:val="0"/>
        <w:sz w:val="24"/>
        <w:szCs w:val="24"/>
        <w:u w:color="000000"/>
        <w:lang w:val="en-US"/>
      </w:rPr>
    </w:lvl>
    <w:lvl w:ilvl="3">
      <w:start w:val="1"/>
      <w:numFmt w:val="upperLetter"/>
      <w:lvlText w:val="%4."/>
      <w:lvlJc w:val="left"/>
      <w:pPr>
        <w:tabs>
          <w:tab w:val="num" w:pos="1473"/>
        </w:tabs>
        <w:ind w:left="1473" w:hanging="393"/>
      </w:pPr>
      <w:rPr>
        <w:position w:val="0"/>
        <w:sz w:val="24"/>
        <w:szCs w:val="24"/>
        <w:u w:color="000000"/>
        <w:lang w:val="en-US"/>
      </w:rPr>
    </w:lvl>
    <w:lvl w:ilvl="4">
      <w:start w:val="1"/>
      <w:numFmt w:val="upperLetter"/>
      <w:lvlText w:val="%5."/>
      <w:lvlJc w:val="left"/>
      <w:pPr>
        <w:tabs>
          <w:tab w:val="num" w:pos="1833"/>
        </w:tabs>
        <w:ind w:left="1833" w:hanging="393"/>
      </w:pPr>
      <w:rPr>
        <w:position w:val="0"/>
        <w:sz w:val="24"/>
        <w:szCs w:val="24"/>
        <w:u w:color="000000"/>
        <w:lang w:val="en-US"/>
      </w:rPr>
    </w:lvl>
    <w:lvl w:ilvl="5">
      <w:start w:val="1"/>
      <w:numFmt w:val="upperLetter"/>
      <w:lvlText w:val="%6."/>
      <w:lvlJc w:val="left"/>
      <w:pPr>
        <w:tabs>
          <w:tab w:val="num" w:pos="2193"/>
        </w:tabs>
        <w:ind w:left="2193" w:hanging="393"/>
      </w:pPr>
      <w:rPr>
        <w:position w:val="0"/>
        <w:sz w:val="24"/>
        <w:szCs w:val="24"/>
        <w:u w:color="000000"/>
        <w:lang w:val="en-US"/>
      </w:rPr>
    </w:lvl>
    <w:lvl w:ilvl="6">
      <w:start w:val="1"/>
      <w:numFmt w:val="upperLetter"/>
      <w:lvlText w:val="%7."/>
      <w:lvlJc w:val="left"/>
      <w:pPr>
        <w:tabs>
          <w:tab w:val="num" w:pos="2553"/>
        </w:tabs>
        <w:ind w:left="2553" w:hanging="393"/>
      </w:pPr>
      <w:rPr>
        <w:position w:val="0"/>
        <w:sz w:val="24"/>
        <w:szCs w:val="24"/>
        <w:u w:color="000000"/>
        <w:lang w:val="en-US"/>
      </w:rPr>
    </w:lvl>
    <w:lvl w:ilvl="7">
      <w:start w:val="1"/>
      <w:numFmt w:val="upperLetter"/>
      <w:lvlText w:val="%8."/>
      <w:lvlJc w:val="left"/>
      <w:pPr>
        <w:tabs>
          <w:tab w:val="num" w:pos="2913"/>
        </w:tabs>
        <w:ind w:left="2913" w:hanging="393"/>
      </w:pPr>
      <w:rPr>
        <w:position w:val="0"/>
        <w:sz w:val="24"/>
        <w:szCs w:val="24"/>
        <w:u w:color="000000"/>
        <w:lang w:val="en-US"/>
      </w:rPr>
    </w:lvl>
    <w:lvl w:ilvl="8">
      <w:start w:val="1"/>
      <w:numFmt w:val="upperLetter"/>
      <w:lvlText w:val="%9."/>
      <w:lvlJc w:val="left"/>
      <w:pPr>
        <w:tabs>
          <w:tab w:val="num" w:pos="3273"/>
        </w:tabs>
        <w:ind w:left="3273" w:hanging="393"/>
      </w:pPr>
      <w:rPr>
        <w:position w:val="0"/>
        <w:sz w:val="24"/>
        <w:szCs w:val="24"/>
        <w:u w:color="000000"/>
        <w:lang w:val="en-US"/>
      </w:rPr>
    </w:lvl>
  </w:abstractNum>
  <w:abstractNum w:abstractNumId="8">
    <w:nsid w:val="2DB657AB"/>
    <w:multiLevelType w:val="multilevel"/>
    <w:tmpl w:val="01EC01CC"/>
    <w:styleLink w:val="ImportedStyle11"/>
    <w:lvl w:ilvl="0">
      <w:start w:val="4"/>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9">
    <w:nsid w:val="353E3EE1"/>
    <w:multiLevelType w:val="hybridMultilevel"/>
    <w:tmpl w:val="66AC2E18"/>
    <w:lvl w:ilvl="0" w:tplc="9B28CA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D5FD7"/>
    <w:multiLevelType w:val="hybridMultilevel"/>
    <w:tmpl w:val="152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052F4"/>
    <w:multiLevelType w:val="multilevel"/>
    <w:tmpl w:val="3766AF6C"/>
    <w:styleLink w:val="List31"/>
    <w:lvl w:ilvl="0">
      <w:start w:val="1"/>
      <w:numFmt w:val="decimal"/>
      <w:lvlText w:val="%1."/>
      <w:lvlJc w:val="left"/>
      <w:pPr>
        <w:tabs>
          <w:tab w:val="num" w:pos="104"/>
        </w:tabs>
      </w:pPr>
      <w:rPr>
        <w:position w:val="0"/>
        <w:sz w:val="24"/>
        <w:szCs w:val="24"/>
        <w:u w:val="single" w:color="000000"/>
        <w:lang w:val="en-US"/>
      </w:rPr>
    </w:lvl>
    <w:lvl w:ilvl="1">
      <w:start w:val="4"/>
      <w:numFmt w:val="decimal"/>
      <w:lvlText w:val="%2."/>
      <w:lvlJc w:val="left"/>
      <w:pPr>
        <w:tabs>
          <w:tab w:val="num" w:pos="1410"/>
        </w:tabs>
        <w:ind w:left="1410" w:hanging="330"/>
      </w:pPr>
      <w:rPr>
        <w:position w:val="0"/>
        <w:sz w:val="24"/>
        <w:szCs w:val="24"/>
        <w:u w:val="single" w:color="000000"/>
        <w:lang w:val="en-US"/>
      </w:rPr>
    </w:lvl>
    <w:lvl w:ilvl="2">
      <w:start w:val="1"/>
      <w:numFmt w:val="lowerRoman"/>
      <w:lvlText w:val="%3."/>
      <w:lvlJc w:val="left"/>
      <w:pPr>
        <w:tabs>
          <w:tab w:val="num" w:pos="104"/>
        </w:tabs>
      </w:pPr>
      <w:rPr>
        <w:position w:val="0"/>
        <w:sz w:val="24"/>
        <w:szCs w:val="24"/>
        <w:u w:val="single" w:color="000000"/>
        <w:lang w:val="en-US"/>
      </w:rPr>
    </w:lvl>
    <w:lvl w:ilvl="3">
      <w:start w:val="1"/>
      <w:numFmt w:val="decimal"/>
      <w:lvlText w:val="%4."/>
      <w:lvlJc w:val="left"/>
      <w:pPr>
        <w:tabs>
          <w:tab w:val="num" w:pos="104"/>
        </w:tabs>
      </w:pPr>
      <w:rPr>
        <w:position w:val="0"/>
        <w:sz w:val="24"/>
        <w:szCs w:val="24"/>
        <w:u w:val="single" w:color="000000"/>
        <w:lang w:val="en-US"/>
      </w:rPr>
    </w:lvl>
    <w:lvl w:ilvl="4">
      <w:start w:val="1"/>
      <w:numFmt w:val="lowerLetter"/>
      <w:lvlText w:val="%5."/>
      <w:lvlJc w:val="left"/>
      <w:pPr>
        <w:tabs>
          <w:tab w:val="num" w:pos="104"/>
        </w:tabs>
      </w:pPr>
      <w:rPr>
        <w:position w:val="0"/>
        <w:sz w:val="24"/>
        <w:szCs w:val="24"/>
        <w:u w:val="single" w:color="000000"/>
        <w:lang w:val="en-US"/>
      </w:rPr>
    </w:lvl>
    <w:lvl w:ilvl="5">
      <w:start w:val="1"/>
      <w:numFmt w:val="lowerRoman"/>
      <w:lvlText w:val="%6."/>
      <w:lvlJc w:val="left"/>
      <w:pPr>
        <w:tabs>
          <w:tab w:val="num" w:pos="104"/>
        </w:tabs>
      </w:pPr>
      <w:rPr>
        <w:position w:val="0"/>
        <w:sz w:val="24"/>
        <w:szCs w:val="24"/>
        <w:u w:val="single" w:color="000000"/>
        <w:lang w:val="en-US"/>
      </w:rPr>
    </w:lvl>
    <w:lvl w:ilvl="6">
      <w:start w:val="1"/>
      <w:numFmt w:val="decimal"/>
      <w:lvlText w:val="%7."/>
      <w:lvlJc w:val="left"/>
      <w:pPr>
        <w:tabs>
          <w:tab w:val="num" w:pos="104"/>
        </w:tabs>
      </w:pPr>
      <w:rPr>
        <w:position w:val="0"/>
        <w:sz w:val="24"/>
        <w:szCs w:val="24"/>
        <w:u w:val="single" w:color="000000"/>
        <w:lang w:val="en-US"/>
      </w:rPr>
    </w:lvl>
    <w:lvl w:ilvl="7">
      <w:start w:val="1"/>
      <w:numFmt w:val="lowerLetter"/>
      <w:lvlText w:val="%8."/>
      <w:lvlJc w:val="left"/>
      <w:pPr>
        <w:tabs>
          <w:tab w:val="num" w:pos="104"/>
        </w:tabs>
      </w:pPr>
      <w:rPr>
        <w:position w:val="0"/>
        <w:sz w:val="24"/>
        <w:szCs w:val="24"/>
        <w:u w:val="single" w:color="000000"/>
        <w:lang w:val="en-US"/>
      </w:rPr>
    </w:lvl>
    <w:lvl w:ilvl="8">
      <w:start w:val="1"/>
      <w:numFmt w:val="lowerRoman"/>
      <w:lvlText w:val="%9."/>
      <w:lvlJc w:val="left"/>
      <w:pPr>
        <w:tabs>
          <w:tab w:val="num" w:pos="104"/>
        </w:tabs>
      </w:pPr>
      <w:rPr>
        <w:position w:val="0"/>
        <w:sz w:val="24"/>
        <w:szCs w:val="24"/>
        <w:u w:val="single" w:color="000000"/>
        <w:lang w:val="en-US"/>
      </w:rPr>
    </w:lvl>
  </w:abstractNum>
  <w:abstractNum w:abstractNumId="12">
    <w:nsid w:val="439D14D7"/>
    <w:multiLevelType w:val="hybridMultilevel"/>
    <w:tmpl w:val="6A7A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802"/>
    <w:multiLevelType w:val="multilevel"/>
    <w:tmpl w:val="6C16170E"/>
    <w:styleLink w:val="ImportedStyle8"/>
    <w:lvl w:ilvl="0">
      <w:start w:val="1"/>
      <w:numFmt w:val="decimal"/>
      <w:lvlText w:val="(%1)"/>
      <w:lvlJc w:val="left"/>
      <w:pPr>
        <w:tabs>
          <w:tab w:val="num" w:pos="1050"/>
        </w:tabs>
        <w:ind w:left="105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4">
    <w:nsid w:val="62EC5421"/>
    <w:multiLevelType w:val="multilevel"/>
    <w:tmpl w:val="63A64232"/>
    <w:styleLink w:val="ImportedStyle9"/>
    <w:lvl w:ilvl="0">
      <w:start w:val="1"/>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5">
    <w:nsid w:val="63F279D0"/>
    <w:multiLevelType w:val="multilevel"/>
    <w:tmpl w:val="F04AD78A"/>
    <w:styleLink w:val="ImportedStyle6"/>
    <w:lvl w:ilvl="0">
      <w:start w:val="1"/>
      <w:numFmt w:val="decimal"/>
      <w:lvlText w:val="%1."/>
      <w:lvlJc w:val="left"/>
      <w:pPr>
        <w:tabs>
          <w:tab w:val="num" w:pos="104"/>
        </w:tabs>
      </w:pPr>
      <w:rPr>
        <w:position w:val="0"/>
        <w:sz w:val="24"/>
        <w:szCs w:val="24"/>
        <w:u w:val="single"/>
        <w:lang w:val="en-US"/>
      </w:rPr>
    </w:lvl>
    <w:lvl w:ilvl="1">
      <w:start w:val="2"/>
      <w:numFmt w:val="decimal"/>
      <w:lvlText w:val="%2."/>
      <w:lvlJc w:val="left"/>
      <w:pPr>
        <w:tabs>
          <w:tab w:val="num" w:pos="1440"/>
        </w:tabs>
        <w:ind w:left="1440" w:hanging="360"/>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6">
    <w:nsid w:val="698975FA"/>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B74403"/>
    <w:multiLevelType w:val="hybridMultilevel"/>
    <w:tmpl w:val="250E1334"/>
    <w:lvl w:ilvl="0" w:tplc="1666961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054CECC">
      <w:start w:val="1"/>
      <w:numFmt w:val="decimal"/>
      <w:lvlText w:val="%3."/>
      <w:lvlJc w:val="left"/>
      <w:pPr>
        <w:ind w:left="2340" w:hanging="36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965B6"/>
    <w:multiLevelType w:val="multilevel"/>
    <w:tmpl w:val="9D5EA9E8"/>
    <w:styleLink w:val="ImportedStyle10"/>
    <w:lvl w:ilvl="0">
      <w:start w:val="3"/>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9">
    <w:nsid w:val="702B5FEC"/>
    <w:multiLevelType w:val="hybridMultilevel"/>
    <w:tmpl w:val="5B7AD106"/>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80784"/>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D31A5A"/>
    <w:multiLevelType w:val="hybridMultilevel"/>
    <w:tmpl w:val="D188EB2E"/>
    <w:lvl w:ilvl="0" w:tplc="C72C8C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9"/>
  </w:num>
  <w:num w:numId="5">
    <w:abstractNumId w:val="17"/>
  </w:num>
  <w:num w:numId="6">
    <w:abstractNumId w:val="20"/>
  </w:num>
  <w:num w:numId="7">
    <w:abstractNumId w:val="16"/>
  </w:num>
  <w:num w:numId="8">
    <w:abstractNumId w:val="2"/>
  </w:num>
  <w:num w:numId="9">
    <w:abstractNumId w:val="0"/>
  </w:num>
  <w:num w:numId="10">
    <w:abstractNumId w:val="3"/>
  </w:num>
  <w:num w:numId="11">
    <w:abstractNumId w:val="10"/>
  </w:num>
  <w:num w:numId="12">
    <w:abstractNumId w:val="6"/>
  </w:num>
  <w:num w:numId="13">
    <w:abstractNumId w:val="1"/>
  </w:num>
  <w:num w:numId="14">
    <w:abstractNumId w:val="7"/>
  </w:num>
  <w:num w:numId="15">
    <w:abstractNumId w:val="15"/>
  </w:num>
  <w:num w:numId="16">
    <w:abstractNumId w:val="5"/>
  </w:num>
  <w:num w:numId="17">
    <w:abstractNumId w:val="11"/>
  </w:num>
  <w:num w:numId="18">
    <w:abstractNumId w:val="13"/>
  </w:num>
  <w:num w:numId="19">
    <w:abstractNumId w:val="14"/>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6E"/>
    <w:rsid w:val="000018B4"/>
    <w:rsid w:val="00007145"/>
    <w:rsid w:val="00011AFB"/>
    <w:rsid w:val="000133F8"/>
    <w:rsid w:val="00023DD4"/>
    <w:rsid w:val="000317DD"/>
    <w:rsid w:val="000326B4"/>
    <w:rsid w:val="00034275"/>
    <w:rsid w:val="000417EC"/>
    <w:rsid w:val="000B136C"/>
    <w:rsid w:val="000B583A"/>
    <w:rsid w:val="000C7CAE"/>
    <w:rsid w:val="000E201E"/>
    <w:rsid w:val="000F33F8"/>
    <w:rsid w:val="000F55F5"/>
    <w:rsid w:val="001019FC"/>
    <w:rsid w:val="00101FBF"/>
    <w:rsid w:val="00120395"/>
    <w:rsid w:val="0012346D"/>
    <w:rsid w:val="00123FCD"/>
    <w:rsid w:val="00130995"/>
    <w:rsid w:val="00134EB8"/>
    <w:rsid w:val="0016101F"/>
    <w:rsid w:val="00173D7C"/>
    <w:rsid w:val="0018338E"/>
    <w:rsid w:val="001A2915"/>
    <w:rsid w:val="001B42D2"/>
    <w:rsid w:val="001B5F3F"/>
    <w:rsid w:val="001D2EDC"/>
    <w:rsid w:val="001F1D6E"/>
    <w:rsid w:val="002134E8"/>
    <w:rsid w:val="00217948"/>
    <w:rsid w:val="00283AE5"/>
    <w:rsid w:val="002A6021"/>
    <w:rsid w:val="002A79B4"/>
    <w:rsid w:val="002D1F07"/>
    <w:rsid w:val="002D79E7"/>
    <w:rsid w:val="002F1710"/>
    <w:rsid w:val="002F4600"/>
    <w:rsid w:val="002F5259"/>
    <w:rsid w:val="0030736E"/>
    <w:rsid w:val="00317B9F"/>
    <w:rsid w:val="00325437"/>
    <w:rsid w:val="00334EAE"/>
    <w:rsid w:val="00337034"/>
    <w:rsid w:val="00352043"/>
    <w:rsid w:val="0035590A"/>
    <w:rsid w:val="003872BE"/>
    <w:rsid w:val="003A6344"/>
    <w:rsid w:val="003B173F"/>
    <w:rsid w:val="003B66A7"/>
    <w:rsid w:val="003B7A24"/>
    <w:rsid w:val="003E670F"/>
    <w:rsid w:val="003F0DD1"/>
    <w:rsid w:val="004224E7"/>
    <w:rsid w:val="00433E0E"/>
    <w:rsid w:val="0044301E"/>
    <w:rsid w:val="00460EA3"/>
    <w:rsid w:val="00461583"/>
    <w:rsid w:val="00464C08"/>
    <w:rsid w:val="00467305"/>
    <w:rsid w:val="00470A40"/>
    <w:rsid w:val="00480045"/>
    <w:rsid w:val="00486BFF"/>
    <w:rsid w:val="00497020"/>
    <w:rsid w:val="004C5917"/>
    <w:rsid w:val="004D2F91"/>
    <w:rsid w:val="004D6BD9"/>
    <w:rsid w:val="004F2383"/>
    <w:rsid w:val="004F5262"/>
    <w:rsid w:val="005142C3"/>
    <w:rsid w:val="0052290D"/>
    <w:rsid w:val="00544C82"/>
    <w:rsid w:val="00562211"/>
    <w:rsid w:val="00591FB3"/>
    <w:rsid w:val="005972E0"/>
    <w:rsid w:val="005B7FDF"/>
    <w:rsid w:val="005D2BA6"/>
    <w:rsid w:val="005E0956"/>
    <w:rsid w:val="005F4C4A"/>
    <w:rsid w:val="0060668B"/>
    <w:rsid w:val="006213C4"/>
    <w:rsid w:val="00635BA9"/>
    <w:rsid w:val="006377AF"/>
    <w:rsid w:val="0064077B"/>
    <w:rsid w:val="00646479"/>
    <w:rsid w:val="006641AE"/>
    <w:rsid w:val="00664282"/>
    <w:rsid w:val="00671B3A"/>
    <w:rsid w:val="00696C30"/>
    <w:rsid w:val="006A4463"/>
    <w:rsid w:val="006A54E6"/>
    <w:rsid w:val="006A6DE4"/>
    <w:rsid w:val="006A71B3"/>
    <w:rsid w:val="006C467B"/>
    <w:rsid w:val="006D3CCE"/>
    <w:rsid w:val="006E1811"/>
    <w:rsid w:val="006E7B2F"/>
    <w:rsid w:val="006F65AD"/>
    <w:rsid w:val="00713F30"/>
    <w:rsid w:val="0071423E"/>
    <w:rsid w:val="007274AA"/>
    <w:rsid w:val="00735594"/>
    <w:rsid w:val="00752F35"/>
    <w:rsid w:val="00775A12"/>
    <w:rsid w:val="007940A4"/>
    <w:rsid w:val="007A325B"/>
    <w:rsid w:val="007B0550"/>
    <w:rsid w:val="007C0865"/>
    <w:rsid w:val="007C680B"/>
    <w:rsid w:val="007D7F48"/>
    <w:rsid w:val="007F188C"/>
    <w:rsid w:val="007F4AA6"/>
    <w:rsid w:val="0080394C"/>
    <w:rsid w:val="00831706"/>
    <w:rsid w:val="00835802"/>
    <w:rsid w:val="00841299"/>
    <w:rsid w:val="00846045"/>
    <w:rsid w:val="00847274"/>
    <w:rsid w:val="008631F4"/>
    <w:rsid w:val="00876E43"/>
    <w:rsid w:val="00882B7E"/>
    <w:rsid w:val="00882D8D"/>
    <w:rsid w:val="00886521"/>
    <w:rsid w:val="008959E9"/>
    <w:rsid w:val="008C52BF"/>
    <w:rsid w:val="008E07E8"/>
    <w:rsid w:val="008E2CCF"/>
    <w:rsid w:val="008F49AD"/>
    <w:rsid w:val="00905ECF"/>
    <w:rsid w:val="009100DE"/>
    <w:rsid w:val="009206AE"/>
    <w:rsid w:val="009311C6"/>
    <w:rsid w:val="009540A0"/>
    <w:rsid w:val="00957274"/>
    <w:rsid w:val="00970613"/>
    <w:rsid w:val="00973B7C"/>
    <w:rsid w:val="00980609"/>
    <w:rsid w:val="00993F75"/>
    <w:rsid w:val="009A0976"/>
    <w:rsid w:val="009C010B"/>
    <w:rsid w:val="009C0247"/>
    <w:rsid w:val="009D363D"/>
    <w:rsid w:val="009E415E"/>
    <w:rsid w:val="009F0CE1"/>
    <w:rsid w:val="00A04DC9"/>
    <w:rsid w:val="00A171E4"/>
    <w:rsid w:val="00A240C6"/>
    <w:rsid w:val="00A33A94"/>
    <w:rsid w:val="00A35390"/>
    <w:rsid w:val="00A67F2E"/>
    <w:rsid w:val="00A76422"/>
    <w:rsid w:val="00AD2F15"/>
    <w:rsid w:val="00AD482D"/>
    <w:rsid w:val="00AD7AC0"/>
    <w:rsid w:val="00AE0CEE"/>
    <w:rsid w:val="00AE0E1D"/>
    <w:rsid w:val="00AE29AB"/>
    <w:rsid w:val="00B20BFE"/>
    <w:rsid w:val="00B327AE"/>
    <w:rsid w:val="00B422E3"/>
    <w:rsid w:val="00B45589"/>
    <w:rsid w:val="00B458A7"/>
    <w:rsid w:val="00B613A7"/>
    <w:rsid w:val="00B656A6"/>
    <w:rsid w:val="00B767E9"/>
    <w:rsid w:val="00B92747"/>
    <w:rsid w:val="00B97086"/>
    <w:rsid w:val="00BB4EA9"/>
    <w:rsid w:val="00BB6020"/>
    <w:rsid w:val="00BD0D17"/>
    <w:rsid w:val="00BD6623"/>
    <w:rsid w:val="00BF51C4"/>
    <w:rsid w:val="00C050FE"/>
    <w:rsid w:val="00C07A89"/>
    <w:rsid w:val="00C2769D"/>
    <w:rsid w:val="00C279E0"/>
    <w:rsid w:val="00C30AB3"/>
    <w:rsid w:val="00C43011"/>
    <w:rsid w:val="00C4721C"/>
    <w:rsid w:val="00C679B7"/>
    <w:rsid w:val="00C8489C"/>
    <w:rsid w:val="00CA0693"/>
    <w:rsid w:val="00CA2917"/>
    <w:rsid w:val="00CE4D48"/>
    <w:rsid w:val="00CE661C"/>
    <w:rsid w:val="00CE6FD5"/>
    <w:rsid w:val="00D105A5"/>
    <w:rsid w:val="00D338B2"/>
    <w:rsid w:val="00D5459B"/>
    <w:rsid w:val="00D64C3F"/>
    <w:rsid w:val="00D71233"/>
    <w:rsid w:val="00D81C8C"/>
    <w:rsid w:val="00D86D4C"/>
    <w:rsid w:val="00D91987"/>
    <w:rsid w:val="00D91F8F"/>
    <w:rsid w:val="00D948AE"/>
    <w:rsid w:val="00DB653D"/>
    <w:rsid w:val="00DB7A29"/>
    <w:rsid w:val="00DC6E4D"/>
    <w:rsid w:val="00DD1E2E"/>
    <w:rsid w:val="00DD3092"/>
    <w:rsid w:val="00DD5BF4"/>
    <w:rsid w:val="00DE2698"/>
    <w:rsid w:val="00E0006B"/>
    <w:rsid w:val="00E03EC0"/>
    <w:rsid w:val="00E26341"/>
    <w:rsid w:val="00E33D32"/>
    <w:rsid w:val="00E45047"/>
    <w:rsid w:val="00E50425"/>
    <w:rsid w:val="00E87D6F"/>
    <w:rsid w:val="00EC4AED"/>
    <w:rsid w:val="00EC7ED7"/>
    <w:rsid w:val="00EE2082"/>
    <w:rsid w:val="00EF7867"/>
    <w:rsid w:val="00F0002A"/>
    <w:rsid w:val="00F33BF6"/>
    <w:rsid w:val="00F456E2"/>
    <w:rsid w:val="00F465B2"/>
    <w:rsid w:val="00F5556E"/>
    <w:rsid w:val="00F6424B"/>
    <w:rsid w:val="00F71876"/>
    <w:rsid w:val="00F775D7"/>
    <w:rsid w:val="00F81C92"/>
    <w:rsid w:val="00F87290"/>
    <w:rsid w:val="00F913A9"/>
    <w:rsid w:val="00FB2F41"/>
    <w:rsid w:val="00FB3AC0"/>
    <w:rsid w:val="00FE4782"/>
    <w:rsid w:val="00FE62F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8FD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556E"/>
    <w:pPr>
      <w:ind w:left="720"/>
      <w:contextualSpacing/>
    </w:pPr>
  </w:style>
  <w:style w:type="character" w:styleId="Hyperlink">
    <w:name w:val="Hyperlink"/>
    <w:basedOn w:val="DefaultParagraphFont"/>
    <w:uiPriority w:val="99"/>
    <w:unhideWhenUsed/>
    <w:rsid w:val="00F775D7"/>
    <w:rPr>
      <w:color w:val="0000FF"/>
      <w:u w:val="single"/>
    </w:rPr>
  </w:style>
  <w:style w:type="paragraph" w:styleId="Header">
    <w:name w:val="header"/>
    <w:basedOn w:val="Normal"/>
    <w:link w:val="HeaderChar"/>
    <w:uiPriority w:val="99"/>
    <w:unhideWhenUsed/>
    <w:rsid w:val="00D91F8F"/>
    <w:pPr>
      <w:tabs>
        <w:tab w:val="center" w:pos="4320"/>
        <w:tab w:val="right" w:pos="8640"/>
      </w:tabs>
      <w:spacing w:after="0"/>
    </w:pPr>
  </w:style>
  <w:style w:type="character" w:customStyle="1" w:styleId="HeaderChar">
    <w:name w:val="Header Char"/>
    <w:basedOn w:val="DefaultParagraphFont"/>
    <w:link w:val="Header"/>
    <w:uiPriority w:val="99"/>
    <w:rsid w:val="00D91F8F"/>
    <w:rPr>
      <w:rFonts w:ascii="Times New Roman" w:hAnsi="Times New Roman"/>
      <w:sz w:val="18"/>
      <w:szCs w:val="24"/>
    </w:rPr>
  </w:style>
  <w:style w:type="paragraph" w:styleId="Footer">
    <w:name w:val="footer"/>
    <w:basedOn w:val="Normal"/>
    <w:link w:val="FooterChar"/>
    <w:uiPriority w:val="99"/>
    <w:unhideWhenUsed/>
    <w:rsid w:val="00D91F8F"/>
    <w:pPr>
      <w:tabs>
        <w:tab w:val="center" w:pos="4320"/>
        <w:tab w:val="right" w:pos="8640"/>
      </w:tabs>
      <w:spacing w:after="0"/>
    </w:pPr>
  </w:style>
  <w:style w:type="character" w:customStyle="1" w:styleId="FooterChar">
    <w:name w:val="Footer Char"/>
    <w:basedOn w:val="DefaultParagraphFont"/>
    <w:link w:val="Footer"/>
    <w:uiPriority w:val="99"/>
    <w:rsid w:val="00D91F8F"/>
    <w:rPr>
      <w:rFonts w:ascii="Times New Roman" w:hAnsi="Times New Roman"/>
      <w:sz w:val="18"/>
      <w:szCs w:val="24"/>
    </w:rPr>
  </w:style>
  <w:style w:type="paragraph" w:styleId="FootnoteText">
    <w:name w:val="footnote text"/>
    <w:basedOn w:val="Normal"/>
    <w:link w:val="FootnoteTextChar"/>
    <w:unhideWhenUsed/>
    <w:rsid w:val="00D91F8F"/>
    <w:pPr>
      <w:spacing w:after="0"/>
    </w:pPr>
    <w:rPr>
      <w:sz w:val="24"/>
    </w:rPr>
  </w:style>
  <w:style w:type="character" w:customStyle="1" w:styleId="FootnoteTextChar">
    <w:name w:val="Footnote Text Char"/>
    <w:basedOn w:val="DefaultParagraphFont"/>
    <w:link w:val="FootnoteText"/>
    <w:uiPriority w:val="99"/>
    <w:rsid w:val="00D91F8F"/>
    <w:rPr>
      <w:rFonts w:ascii="Times New Roman" w:hAnsi="Times New Roman"/>
      <w:sz w:val="24"/>
      <w:szCs w:val="24"/>
    </w:rPr>
  </w:style>
  <w:style w:type="character" w:styleId="FootnoteReference">
    <w:name w:val="footnote reference"/>
    <w:basedOn w:val="DefaultParagraphFont"/>
    <w:uiPriority w:val="99"/>
    <w:unhideWhenUsed/>
    <w:rsid w:val="00D91F8F"/>
    <w:rPr>
      <w:vertAlign w:val="superscript"/>
    </w:rPr>
  </w:style>
  <w:style w:type="paragraph" w:styleId="ListNumber">
    <w:name w:val="List Number"/>
    <w:basedOn w:val="Normal"/>
    <w:uiPriority w:val="99"/>
    <w:semiHidden/>
    <w:unhideWhenUsed/>
    <w:rsid w:val="00CA2917"/>
    <w:pPr>
      <w:numPr>
        <w:numId w:val="9"/>
      </w:numPr>
      <w:contextualSpacing/>
    </w:pPr>
  </w:style>
  <w:style w:type="character" w:styleId="FollowedHyperlink">
    <w:name w:val="FollowedHyperlink"/>
    <w:basedOn w:val="DefaultParagraphFont"/>
    <w:uiPriority w:val="99"/>
    <w:semiHidden/>
    <w:unhideWhenUsed/>
    <w:rsid w:val="008959E9"/>
    <w:rPr>
      <w:color w:val="800080" w:themeColor="followedHyperlink"/>
      <w:u w:val="single"/>
    </w:rPr>
  </w:style>
  <w:style w:type="paragraph" w:styleId="EndnoteText">
    <w:name w:val="endnote text"/>
    <w:basedOn w:val="Normal"/>
    <w:link w:val="EndnoteTextChar"/>
    <w:unhideWhenUsed/>
    <w:rsid w:val="00120395"/>
    <w:pPr>
      <w:spacing w:after="0"/>
    </w:pPr>
    <w:rPr>
      <w:sz w:val="24"/>
    </w:rPr>
  </w:style>
  <w:style w:type="character" w:customStyle="1" w:styleId="EndnoteTextChar">
    <w:name w:val="Endnote Text Char"/>
    <w:basedOn w:val="DefaultParagraphFont"/>
    <w:link w:val="EndnoteText"/>
    <w:uiPriority w:val="99"/>
    <w:rsid w:val="00120395"/>
    <w:rPr>
      <w:rFonts w:ascii="Times New Roman" w:hAnsi="Times New Roman"/>
      <w:sz w:val="24"/>
      <w:szCs w:val="24"/>
    </w:rPr>
  </w:style>
  <w:style w:type="character" w:styleId="EndnoteReference">
    <w:name w:val="endnote reference"/>
    <w:basedOn w:val="DefaultParagraphFont"/>
    <w:uiPriority w:val="99"/>
    <w:unhideWhenUsed/>
    <w:rsid w:val="00120395"/>
    <w:rPr>
      <w:vertAlign w:val="superscript"/>
    </w:rPr>
  </w:style>
  <w:style w:type="character" w:styleId="PageNumber">
    <w:name w:val="page number"/>
    <w:basedOn w:val="DefaultParagraphFont"/>
    <w:uiPriority w:val="99"/>
    <w:semiHidden/>
    <w:unhideWhenUsed/>
    <w:rsid w:val="00DD5BF4"/>
  </w:style>
  <w:style w:type="paragraph" w:customStyle="1" w:styleId="BodyA">
    <w:name w:val="Body A"/>
    <w:rsid w:val="000B583A"/>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eastAsia="en-US"/>
    </w:rPr>
  </w:style>
  <w:style w:type="character" w:customStyle="1" w:styleId="Hyperlink1">
    <w:name w:val="Hyperlink.1"/>
    <w:basedOn w:val="DefaultParagraphFont"/>
    <w:rsid w:val="000B583A"/>
    <w:rPr>
      <w:color w:val="0000FF"/>
      <w:sz w:val="20"/>
      <w:szCs w:val="20"/>
      <w:u w:val="single" w:color="0000FF"/>
      <w:lang w:val="en-US"/>
    </w:rPr>
  </w:style>
  <w:style w:type="paragraph" w:styleId="NormalWeb">
    <w:name w:val="Normal (Web)"/>
    <w:rsid w:val="007274AA"/>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eastAsia="en-US"/>
    </w:rPr>
  </w:style>
  <w:style w:type="numbering" w:customStyle="1" w:styleId="List21">
    <w:name w:val="List 21"/>
    <w:basedOn w:val="NoList"/>
    <w:rsid w:val="007274AA"/>
    <w:pPr>
      <w:numPr>
        <w:numId w:val="14"/>
      </w:numPr>
    </w:pPr>
  </w:style>
  <w:style w:type="character" w:customStyle="1" w:styleId="Hyperlink2">
    <w:name w:val="Hyperlink.2"/>
    <w:basedOn w:val="Hyperlink"/>
    <w:rsid w:val="007274AA"/>
    <w:rPr>
      <w:color w:val="0000FF"/>
      <w:u w:val="single"/>
    </w:rPr>
  </w:style>
  <w:style w:type="paragraph" w:styleId="PlainText">
    <w:name w:val="Plain Text"/>
    <w:link w:val="PlainTextChar"/>
    <w:rsid w:val="000133F8"/>
    <w:pPr>
      <w:pBdr>
        <w:top w:val="nil"/>
        <w:left w:val="nil"/>
        <w:bottom w:val="nil"/>
        <w:right w:val="nil"/>
        <w:between w:val="nil"/>
        <w:bar w:val="nil"/>
      </w:pBdr>
      <w:spacing w:after="0"/>
    </w:pPr>
    <w:rPr>
      <w:rFonts w:ascii="Calibri" w:eastAsia="Calibri" w:hAnsi="Calibri" w:cs="Calibri"/>
      <w:color w:val="000000"/>
      <w:sz w:val="22"/>
      <w:szCs w:val="22"/>
      <w:u w:color="000000"/>
      <w:bdr w:val="nil"/>
      <w:lang w:eastAsia="en-US"/>
    </w:rPr>
  </w:style>
  <w:style w:type="character" w:customStyle="1" w:styleId="PlainTextChar">
    <w:name w:val="Plain Text Char"/>
    <w:basedOn w:val="DefaultParagraphFont"/>
    <w:link w:val="PlainText"/>
    <w:rsid w:val="000133F8"/>
    <w:rPr>
      <w:rFonts w:ascii="Calibri" w:eastAsia="Calibri" w:hAnsi="Calibri" w:cs="Calibri"/>
      <w:color w:val="000000"/>
      <w:sz w:val="22"/>
      <w:szCs w:val="22"/>
      <w:u w:color="000000"/>
      <w:bdr w:val="nil"/>
      <w:lang w:eastAsia="en-US"/>
    </w:rPr>
  </w:style>
  <w:style w:type="numbering" w:customStyle="1" w:styleId="ImportedStyle6">
    <w:name w:val="Imported Style 6"/>
    <w:rsid w:val="000133F8"/>
    <w:pPr>
      <w:numPr>
        <w:numId w:val="15"/>
      </w:numPr>
    </w:pPr>
  </w:style>
  <w:style w:type="paragraph" w:styleId="CommentText">
    <w:name w:val="annotation text"/>
    <w:link w:val="CommentTextChar"/>
    <w:rsid w:val="000133F8"/>
    <w:pPr>
      <w:pBdr>
        <w:top w:val="nil"/>
        <w:left w:val="nil"/>
        <w:bottom w:val="nil"/>
        <w:right w:val="nil"/>
        <w:between w:val="nil"/>
        <w:bar w:val="nil"/>
      </w:pBdr>
      <w:spacing w:after="160"/>
    </w:pPr>
    <w:rPr>
      <w:rFonts w:ascii="Calibri" w:eastAsia="Arial Unicode MS" w:hAnsi="Arial Unicode MS" w:cs="Arial Unicode MS"/>
      <w:color w:val="000000"/>
      <w:u w:color="000000"/>
      <w:bdr w:val="nil"/>
      <w:lang w:eastAsia="en-US"/>
    </w:rPr>
  </w:style>
  <w:style w:type="character" w:customStyle="1" w:styleId="CommentTextChar">
    <w:name w:val="Comment Text Char"/>
    <w:basedOn w:val="DefaultParagraphFont"/>
    <w:link w:val="CommentText"/>
    <w:rsid w:val="000133F8"/>
    <w:rPr>
      <w:rFonts w:ascii="Calibri" w:eastAsia="Arial Unicode MS" w:hAnsi="Arial Unicode MS" w:cs="Arial Unicode MS"/>
      <w:color w:val="000000"/>
      <w:u w:color="000000"/>
      <w:bdr w:val="nil"/>
      <w:lang w:eastAsia="en-US"/>
    </w:rPr>
  </w:style>
  <w:style w:type="numbering" w:customStyle="1" w:styleId="List31">
    <w:name w:val="List 31"/>
    <w:basedOn w:val="ImportedStyle6"/>
    <w:rsid w:val="000133F8"/>
    <w:pPr>
      <w:numPr>
        <w:numId w:val="17"/>
      </w:numPr>
    </w:pPr>
  </w:style>
  <w:style w:type="character" w:customStyle="1" w:styleId="Hyperlink3">
    <w:name w:val="Hyperlink.3"/>
    <w:basedOn w:val="DefaultParagraphFont"/>
    <w:rsid w:val="000133F8"/>
    <w:rPr>
      <w:color w:val="0000FF"/>
      <w:u w:val="single" w:color="0000FF"/>
    </w:rPr>
  </w:style>
  <w:style w:type="numbering" w:customStyle="1" w:styleId="ImportedStyle8">
    <w:name w:val="Imported Style 8"/>
    <w:rsid w:val="000133F8"/>
    <w:pPr>
      <w:numPr>
        <w:numId w:val="18"/>
      </w:numPr>
    </w:pPr>
  </w:style>
  <w:style w:type="character" w:customStyle="1" w:styleId="Hyperlink4">
    <w:name w:val="Hyperlink.4"/>
    <w:basedOn w:val="DefaultParagraphFont"/>
    <w:rsid w:val="004224E7"/>
    <w:rPr>
      <w:color w:val="0000FF"/>
      <w:spacing w:val="0"/>
      <w:sz w:val="20"/>
      <w:szCs w:val="20"/>
      <w:u w:val="single" w:color="0000FF"/>
      <w:lang w:val="en-US"/>
    </w:rPr>
  </w:style>
  <w:style w:type="character" w:customStyle="1" w:styleId="Hyperlink5">
    <w:name w:val="Hyperlink.5"/>
    <w:basedOn w:val="DefaultParagraphFont"/>
    <w:rsid w:val="004224E7"/>
    <w:rPr>
      <w:color w:val="0000FF"/>
      <w:sz w:val="20"/>
      <w:szCs w:val="20"/>
      <w:u w:val="single" w:color="0000FF"/>
    </w:rPr>
  </w:style>
  <w:style w:type="numbering" w:customStyle="1" w:styleId="ImportedStyle9">
    <w:name w:val="Imported Style 9"/>
    <w:rsid w:val="007F4AA6"/>
    <w:pPr>
      <w:numPr>
        <w:numId w:val="19"/>
      </w:numPr>
    </w:pPr>
  </w:style>
  <w:style w:type="numbering" w:customStyle="1" w:styleId="ImportedStyle10">
    <w:name w:val="Imported Style 10"/>
    <w:rsid w:val="007F4AA6"/>
    <w:pPr>
      <w:numPr>
        <w:numId w:val="20"/>
      </w:numPr>
    </w:pPr>
  </w:style>
  <w:style w:type="numbering" w:customStyle="1" w:styleId="ImportedStyle11">
    <w:name w:val="Imported Style 11"/>
    <w:rsid w:val="007F4AA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8179">
      <w:bodyDiv w:val="1"/>
      <w:marLeft w:val="0"/>
      <w:marRight w:val="0"/>
      <w:marTop w:val="0"/>
      <w:marBottom w:val="0"/>
      <w:divBdr>
        <w:top w:val="none" w:sz="0" w:space="0" w:color="auto"/>
        <w:left w:val="none" w:sz="0" w:space="0" w:color="auto"/>
        <w:bottom w:val="none" w:sz="0" w:space="0" w:color="auto"/>
        <w:right w:val="none" w:sz="0" w:space="0" w:color="auto"/>
      </w:divBdr>
    </w:div>
    <w:div w:id="248078581">
      <w:bodyDiv w:val="1"/>
      <w:marLeft w:val="0"/>
      <w:marRight w:val="0"/>
      <w:marTop w:val="0"/>
      <w:marBottom w:val="0"/>
      <w:divBdr>
        <w:top w:val="none" w:sz="0" w:space="0" w:color="auto"/>
        <w:left w:val="none" w:sz="0" w:space="0" w:color="auto"/>
        <w:bottom w:val="none" w:sz="0" w:space="0" w:color="auto"/>
        <w:right w:val="none" w:sz="0" w:space="0" w:color="auto"/>
      </w:divBdr>
    </w:div>
    <w:div w:id="357661353">
      <w:bodyDiv w:val="1"/>
      <w:marLeft w:val="0"/>
      <w:marRight w:val="0"/>
      <w:marTop w:val="0"/>
      <w:marBottom w:val="0"/>
      <w:divBdr>
        <w:top w:val="none" w:sz="0" w:space="0" w:color="auto"/>
        <w:left w:val="none" w:sz="0" w:space="0" w:color="auto"/>
        <w:bottom w:val="none" w:sz="0" w:space="0" w:color="auto"/>
        <w:right w:val="none" w:sz="0" w:space="0" w:color="auto"/>
      </w:divBdr>
    </w:div>
    <w:div w:id="1001396008">
      <w:bodyDiv w:val="1"/>
      <w:marLeft w:val="0"/>
      <w:marRight w:val="0"/>
      <w:marTop w:val="0"/>
      <w:marBottom w:val="0"/>
      <w:divBdr>
        <w:top w:val="none" w:sz="0" w:space="0" w:color="auto"/>
        <w:left w:val="none" w:sz="0" w:space="0" w:color="auto"/>
        <w:bottom w:val="none" w:sz="0" w:space="0" w:color="auto"/>
        <w:right w:val="none" w:sz="0" w:space="0" w:color="auto"/>
      </w:divBdr>
    </w:div>
    <w:div w:id="1017657757">
      <w:bodyDiv w:val="1"/>
      <w:marLeft w:val="0"/>
      <w:marRight w:val="0"/>
      <w:marTop w:val="0"/>
      <w:marBottom w:val="0"/>
      <w:divBdr>
        <w:top w:val="none" w:sz="0" w:space="0" w:color="auto"/>
        <w:left w:val="none" w:sz="0" w:space="0" w:color="auto"/>
        <w:bottom w:val="none" w:sz="0" w:space="0" w:color="auto"/>
        <w:right w:val="none" w:sz="0" w:space="0" w:color="auto"/>
      </w:divBdr>
    </w:div>
    <w:div w:id="1382242479">
      <w:bodyDiv w:val="1"/>
      <w:marLeft w:val="0"/>
      <w:marRight w:val="0"/>
      <w:marTop w:val="0"/>
      <w:marBottom w:val="0"/>
      <w:divBdr>
        <w:top w:val="none" w:sz="0" w:space="0" w:color="auto"/>
        <w:left w:val="none" w:sz="0" w:space="0" w:color="auto"/>
        <w:bottom w:val="none" w:sz="0" w:space="0" w:color="auto"/>
        <w:right w:val="none" w:sz="0" w:space="0" w:color="auto"/>
      </w:divBdr>
    </w:div>
    <w:div w:id="1868324314">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menEnabled.org" TargetMode="External"/><Relationship Id="rId8" Type="http://schemas.openxmlformats.org/officeDocument/2006/relationships/hyperlink" Target="mailto:President@WomenEnabled.org" TargetMode="External"/><Relationship Id="rId9" Type="http://schemas.openxmlformats.org/officeDocument/2006/relationships/hyperlink" Target="mailto:LegalAdvisor@WomenEnabled.org" TargetMode="External"/><Relationship Id="rId10" Type="http://schemas.openxmlformats.org/officeDocument/2006/relationships/hyperlink" Target="mailto:keverlynmilanoi@gmail.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srn.com/abstract=1657128" TargetMode="External"/><Relationship Id="rId12" Type="http://schemas.openxmlformats.org/officeDocument/2006/relationships/hyperlink" Target="http://www.ndaa.org/pdf/the_voice_vol_1_no_12_2007.pdf" TargetMode="External"/><Relationship Id="rId13" Type="http://schemas.openxmlformats.org/officeDocument/2006/relationships/hyperlink" Target="http://www.wwda.org.au/wp-content/uploads/2013/12//jennings4.pdf" TargetMode="External"/><Relationship Id="rId14" Type="http://schemas.openxmlformats.org/officeDocument/2006/relationships/hyperlink" Target="http://www.thearc.org/page.aspx?pid=2458" TargetMode="External"/><Relationship Id="rId15" Type="http://schemas.openxmlformats.org/officeDocument/2006/relationships/hyperlink" Target="http://studentaffairs.duke.edu/sites/default/files/u7/sexualviolence-color.pdf" TargetMode="External"/><Relationship Id="rId16" Type="http://schemas.openxmlformats.org/officeDocument/2006/relationships/hyperlink" Target="http://soe.syr.edu/centers_institutes/institute_communication_inclusion/what_is_supported_typing/default.aspx" TargetMode="External"/><Relationship Id="rId17" Type="http://schemas.openxmlformats.org/officeDocument/2006/relationships/hyperlink" Target="http://www.wwda.org.au/wp-content/uploads/2013/12//jennings4.pdf" TargetMode="External"/><Relationship Id="rId18" Type="http://schemas.openxmlformats.org/officeDocument/2006/relationships/hyperlink" Target="http://www.ndaa.org/pdf/the_voice_vol_1_no_12_2007.pdf" TargetMode="External"/><Relationship Id="rId1" Type="http://schemas.openxmlformats.org/officeDocument/2006/relationships/hyperlink" Target="http://www.census.gov/prod/2012pubs/p70-131.pdf" TargetMode="External"/><Relationship Id="rId2" Type="http://schemas.openxmlformats.org/officeDocument/2006/relationships/hyperlink" Target="http://www.ny1.com/content/lifestyles/health_and_medicine/207001/women-with-disabilities-have-trouble-receiving-gynecology-services-in-city" TargetMode="External"/><Relationship Id="rId3" Type="http://schemas.openxmlformats.org/officeDocument/2006/relationships/hyperlink" Target="http://www.mecasa.org/index.php/special-projects/individuals-with-disabilities" TargetMode="External"/><Relationship Id="rId4" Type="http://schemas.openxmlformats.org/officeDocument/2006/relationships/hyperlink" Target="http://ssrn.com/abstract=1435543" TargetMode="External"/><Relationship Id="rId5" Type="http://schemas.openxmlformats.org/officeDocument/2006/relationships/hyperlink" Target="http://www.guardian.co.uk/society/2012/mar/15/ashley-treatment-rise-amid-concerns/print" TargetMode="External"/><Relationship Id="rId6" Type="http://schemas.openxmlformats.org/officeDocument/2006/relationships/hyperlink" Target="http://www.newint.org/issue233/fruit.htm" TargetMode="External"/><Relationship Id="rId7" Type="http://schemas.openxmlformats.org/officeDocument/2006/relationships/hyperlink" Target="http://wwda.org.au/wp-content/uploads/2013/12/Moving_Forward_Gaining_Ground.pdf" TargetMode="External"/><Relationship Id="rId8" Type="http://schemas.openxmlformats.org/officeDocument/2006/relationships/hyperlink" Target="https://www.acog.org/Resources-And-Publications/Committee-Opinions/Committee-on-Ethics/Sterilization-of-Women-Including-Those-With-Mental-Disabilities" TargetMode="External"/><Relationship Id="rId9" Type="http://schemas.openxmlformats.org/officeDocument/2006/relationships/hyperlink" Target="http://www.figo.org/news/new-download-new-ethics-guidelines-2011-003772" TargetMode="External"/><Relationship Id="rId10" Type="http://schemas.openxmlformats.org/officeDocument/2006/relationships/hyperlink" Target="http://documents.law.yale.edu/representing-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8166</Words>
  <Characters>46551</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Luci Prosapio</cp:lastModifiedBy>
  <cp:revision>2</cp:revision>
  <dcterms:created xsi:type="dcterms:W3CDTF">2017-08-27T20:25:00Z</dcterms:created>
  <dcterms:modified xsi:type="dcterms:W3CDTF">2017-08-27T20:25:00Z</dcterms:modified>
</cp:coreProperties>
</file>